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2" w:rsidRDefault="00EE0962">
      <w:r>
        <w:t>ANNEXE 4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54"/>
        <w:gridCol w:w="1662"/>
        <w:gridCol w:w="573"/>
        <w:gridCol w:w="2177"/>
        <w:gridCol w:w="2116"/>
      </w:tblGrid>
      <w:tr w:rsidR="00AB629D" w:rsidRPr="001A33E8" w:rsidTr="00EE0962">
        <w:trPr>
          <w:trHeight w:val="275"/>
        </w:trPr>
        <w:tc>
          <w:tcPr>
            <w:tcW w:w="275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B629D" w:rsidRPr="001A33E8" w:rsidRDefault="00AB629D">
            <w:pPr>
              <w:rPr>
                <w:lang w:val="fr-FR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B629D" w:rsidRPr="001A33E8" w:rsidRDefault="00CB620A" w:rsidP="00C664FF">
            <w:pPr>
              <w:shd w:val="clear" w:color="auto" w:fill="D9D9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1A33E8">
              <w:rPr>
                <w:color w:val="0000FF"/>
                <w:sz w:val="48"/>
                <w:szCs w:val="48"/>
                <w:u w:val="single"/>
                <w:lang w:val="fr-FR"/>
              </w:rPr>
              <w:t xml:space="preserve">Description de fonction </w:t>
            </w:r>
          </w:p>
          <w:p w:rsidR="00AB629D" w:rsidRPr="001A33E8" w:rsidRDefault="00AB629D">
            <w:pPr>
              <w:rPr>
                <w:lang w:val="fr-FR"/>
              </w:rPr>
            </w:pPr>
          </w:p>
        </w:tc>
      </w:tr>
      <w:tr w:rsidR="00AB629D" w:rsidRPr="001A33E8" w:rsidTr="00EE0962">
        <w:trPr>
          <w:trHeight w:val="275"/>
        </w:trPr>
        <w:tc>
          <w:tcPr>
            <w:tcW w:w="275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629D" w:rsidRPr="001A33E8" w:rsidRDefault="00AB629D">
            <w:pPr>
              <w:rPr>
                <w:lang w:val="fr-FR"/>
              </w:rPr>
            </w:pPr>
          </w:p>
        </w:tc>
        <w:tc>
          <w:tcPr>
            <w:tcW w:w="6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629D" w:rsidRPr="001A33E8" w:rsidRDefault="00AB629D" w:rsidP="00C664FF">
            <w:pPr>
              <w:shd w:val="clear" w:color="auto" w:fill="D9D9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1A33E8">
              <w:rPr>
                <w:b/>
                <w:color w:val="0000FF"/>
                <w:sz w:val="48"/>
                <w:szCs w:val="48"/>
                <w:lang w:val="fr-FR"/>
              </w:rPr>
              <w:t>Adjudant</w:t>
            </w:r>
          </w:p>
          <w:p w:rsidR="00EE0962" w:rsidRDefault="00EE0962">
            <w:pPr>
              <w:rPr>
                <w:lang w:val="fr-FR"/>
              </w:rPr>
            </w:pPr>
          </w:p>
          <w:p w:rsidR="00794D0F" w:rsidRDefault="00794D0F">
            <w:pPr>
              <w:rPr>
                <w:lang w:val="fr-FR"/>
              </w:rPr>
            </w:pPr>
          </w:p>
          <w:p w:rsidR="00794D0F" w:rsidRPr="001A33E8" w:rsidRDefault="00794D0F">
            <w:pPr>
              <w:rPr>
                <w:lang w:val="fr-FR"/>
              </w:rPr>
            </w:pPr>
          </w:p>
        </w:tc>
      </w:tr>
      <w:tr w:rsidR="002A4B21" w:rsidRPr="00C33D3E" w:rsidTr="00EE0962">
        <w:tc>
          <w:tcPr>
            <w:tcW w:w="2754" w:type="dxa"/>
            <w:shd w:val="clear" w:color="auto" w:fill="auto"/>
          </w:tcPr>
          <w:p w:rsidR="00B74E91" w:rsidRPr="001A33E8" w:rsidRDefault="00B74E91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  <w:r w:rsidR="003F1E1F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Pr="001A33E8"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4B21" w:rsidRPr="001A33E8" w:rsidRDefault="002A4B21" w:rsidP="002A4B21">
            <w:pPr>
              <w:rPr>
                <w:sz w:val="20"/>
                <w:szCs w:val="20"/>
                <w:lang w:val="fr-FR"/>
              </w:rPr>
            </w:pPr>
          </w:p>
          <w:p w:rsidR="00EE0962" w:rsidRPr="002F6E73" w:rsidRDefault="00EE0962" w:rsidP="00EE0962">
            <w:pPr>
              <w:numPr>
                <w:ilvl w:val="0"/>
                <w:numId w:val="8"/>
              </w:numPr>
              <w:ind w:left="365" w:hanging="365"/>
              <w:rPr>
                <w:rFonts w:eastAsia="Cambria"/>
                <w:color w:val="000000"/>
                <w:sz w:val="20"/>
                <w:szCs w:val="20"/>
                <w:lang w:val="fr-FR" w:eastAsia="en-US"/>
              </w:rPr>
            </w:pPr>
            <w:r w:rsidRPr="00EE0962">
              <w:rPr>
                <w:rFonts w:eastAsia="Cambria"/>
                <w:color w:val="000000"/>
                <w:sz w:val="20"/>
                <w:szCs w:val="20"/>
                <w:lang w:val="fr-FR" w:eastAsia="en-US"/>
              </w:rPr>
              <w:t xml:space="preserve">Assurer la direction </w:t>
            </w:r>
            <w:r w:rsidRPr="002F6E73">
              <w:rPr>
                <w:rFonts w:eastAsia="Cambria"/>
                <w:color w:val="000000"/>
                <w:sz w:val="20"/>
                <w:szCs w:val="20"/>
                <w:lang w:val="fr-FR" w:eastAsia="en-US"/>
              </w:rPr>
              <w:t>opérationnel</w:t>
            </w:r>
            <w:r w:rsidR="00B96C68" w:rsidRPr="002F6E73">
              <w:rPr>
                <w:rFonts w:eastAsia="Cambria"/>
                <w:color w:val="000000"/>
                <w:sz w:val="20"/>
                <w:szCs w:val="20"/>
                <w:lang w:val="fr-FR" w:eastAsia="en-US"/>
              </w:rPr>
              <w:t>le</w:t>
            </w:r>
            <w:r w:rsidRPr="002F6E73">
              <w:rPr>
                <w:rFonts w:eastAsia="Cambria"/>
                <w:color w:val="000000"/>
                <w:sz w:val="20"/>
                <w:szCs w:val="20"/>
                <w:lang w:val="fr-FR" w:eastAsia="en-US"/>
              </w:rPr>
              <w:t xml:space="preserve"> d’une équipe de collaborateurs afin de limiter au maximum les dégâts humains et matériels causés par des incidents, grâce à une intervention efficace et eff</w:t>
            </w:r>
            <w:r w:rsidR="002F6E73" w:rsidRPr="002F6E73">
              <w:rPr>
                <w:rFonts w:eastAsia="Cambria"/>
                <w:color w:val="000000"/>
                <w:sz w:val="20"/>
                <w:szCs w:val="20"/>
                <w:lang w:val="fr-FR" w:eastAsia="en-US"/>
              </w:rPr>
              <w:t>ic</w:t>
            </w:r>
            <w:r w:rsidRPr="002F6E73">
              <w:rPr>
                <w:rFonts w:eastAsia="Cambria"/>
                <w:color w:val="000000"/>
                <w:sz w:val="20"/>
                <w:szCs w:val="20"/>
                <w:lang w:val="fr-FR" w:eastAsia="en-US"/>
              </w:rPr>
              <w:t>i</w:t>
            </w:r>
            <w:r w:rsidR="002F6E73" w:rsidRPr="002F6E73">
              <w:rPr>
                <w:rFonts w:eastAsia="Cambria"/>
                <w:color w:val="000000"/>
                <w:sz w:val="20"/>
                <w:szCs w:val="20"/>
                <w:lang w:val="fr-FR" w:eastAsia="en-US"/>
              </w:rPr>
              <w:t>ente</w:t>
            </w:r>
            <w:r w:rsidRPr="002F6E73">
              <w:rPr>
                <w:rFonts w:eastAsia="Cambria"/>
                <w:color w:val="000000"/>
                <w:sz w:val="20"/>
                <w:szCs w:val="20"/>
                <w:lang w:val="fr-FR" w:eastAsia="en-US"/>
              </w:rPr>
              <w:t xml:space="preserve"> de qualité supérieure.</w:t>
            </w:r>
          </w:p>
          <w:p w:rsidR="000B2F1C" w:rsidRPr="002F6E73" w:rsidRDefault="00CB620A" w:rsidP="00C664FF">
            <w:pPr>
              <w:pStyle w:val="Lijstalinea1"/>
              <w:numPr>
                <w:ilvl w:val="0"/>
                <w:numId w:val="8"/>
              </w:numPr>
              <w:ind w:left="34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Etre </w:t>
            </w:r>
            <w:r w:rsidR="001A33E8"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à même</w:t>
            </w:r>
            <w:r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d’assurer la gestion quotidienne d’une équipe</w:t>
            </w:r>
            <w:r w:rsidR="00C9337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ou</w:t>
            </w:r>
            <w:r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90005B"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d’</w:t>
            </w:r>
            <w:r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une garde</w:t>
            </w:r>
            <w:r w:rsidR="000B2F1C"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afin de </w:t>
            </w:r>
            <w:r w:rsidR="001A33E8"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garantir un</w:t>
            </w:r>
            <w:r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fonctionnement</w:t>
            </w:r>
            <w:r w:rsidR="002D6C37"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opérationnel, administratif et</w:t>
            </w:r>
            <w:r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technique </w:t>
            </w:r>
            <w:r w:rsidR="001A33E8"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optimal </w:t>
            </w:r>
            <w:r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 la zone de secours, </w:t>
            </w:r>
            <w:r w:rsidR="0090005B"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d’assurer </w:t>
            </w:r>
            <w:r w:rsidR="001A33E8"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flux interne d’</w:t>
            </w:r>
            <w:r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infor</w:t>
            </w:r>
            <w:r w:rsidR="001A33E8"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mations dans les deux sens et </w:t>
            </w:r>
            <w:r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éviter la concurrence entre les équipes</w:t>
            </w:r>
            <w:r w:rsidR="000B2F1C" w:rsidRPr="002F6E7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EE0962" w:rsidRPr="002306EF" w:rsidRDefault="00EE0962" w:rsidP="00EE0962">
            <w:pPr>
              <w:pStyle w:val="Lijstalinea"/>
              <w:numPr>
                <w:ilvl w:val="0"/>
                <w:numId w:val="8"/>
              </w:numPr>
              <w:ind w:left="346"/>
              <w:rPr>
                <w:rFonts w:ascii="Arial" w:hAnsi="Arial"/>
                <w:sz w:val="20"/>
                <w:szCs w:val="20"/>
                <w:lang w:val="fr-FR"/>
              </w:rPr>
            </w:pPr>
            <w:r w:rsidRPr="002F6E73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Veiller à la qualité et à la quantité des</w:t>
            </w:r>
            <w:r w:rsidRP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 services et des prestations fournis afin de réaliser les objectifs de la zone de manière effective, effic</w:t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 xml:space="preserve">iente </w:t>
            </w:r>
            <w:r w:rsidRP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et s</w:t>
            </w:r>
            <w:r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écurisée</w:t>
            </w:r>
            <w:r w:rsidRPr="002306EF">
              <w:rPr>
                <w:rFonts w:ascii="Arial" w:hAnsi="Arial"/>
                <w:color w:val="000000"/>
                <w:sz w:val="20"/>
                <w:szCs w:val="20"/>
                <w:lang w:val="fr-FR"/>
              </w:rPr>
              <w:t>.</w:t>
            </w:r>
          </w:p>
          <w:p w:rsidR="00EE0962" w:rsidRDefault="00EE0962" w:rsidP="00EE0962">
            <w:pPr>
              <w:pStyle w:val="Lijstalinea1"/>
              <w:ind w:left="0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794D0F" w:rsidRDefault="00794D0F" w:rsidP="00EE0962">
            <w:pPr>
              <w:pStyle w:val="Lijstalinea1"/>
              <w:ind w:left="0"/>
              <w:rPr>
                <w:rFonts w:ascii="Arial" w:hAnsi="Arial"/>
                <w:sz w:val="20"/>
                <w:szCs w:val="20"/>
                <w:lang w:val="fr-FR"/>
              </w:rPr>
            </w:pPr>
          </w:p>
          <w:p w:rsidR="00794D0F" w:rsidRPr="001A33E8" w:rsidRDefault="00794D0F" w:rsidP="00EE0962">
            <w:pPr>
              <w:pStyle w:val="Lijstalinea1"/>
              <w:ind w:left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2A4B21" w:rsidRPr="00C33D3E" w:rsidTr="00EE0962">
        <w:tc>
          <w:tcPr>
            <w:tcW w:w="2754" w:type="dxa"/>
            <w:shd w:val="clear" w:color="auto" w:fill="auto"/>
          </w:tcPr>
          <w:p w:rsidR="002A4B21" w:rsidRPr="002F6E73" w:rsidRDefault="00CB620A" w:rsidP="002A4B2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2F6E73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:rsidR="002A4B21" w:rsidRPr="002F6E73" w:rsidRDefault="002A4B21" w:rsidP="002A4B2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2A4B21" w:rsidRPr="002F6E73" w:rsidRDefault="002A4B21" w:rsidP="002A4B2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28" w:type="dxa"/>
            <w:gridSpan w:val="4"/>
            <w:shd w:val="clear" w:color="auto" w:fill="auto"/>
          </w:tcPr>
          <w:p w:rsidR="002A4B21" w:rsidRPr="001A33E8" w:rsidRDefault="002A4B21" w:rsidP="002A4B21">
            <w:pPr>
              <w:rPr>
                <w:sz w:val="20"/>
                <w:szCs w:val="20"/>
                <w:lang w:val="fr-FR"/>
              </w:rPr>
            </w:pPr>
          </w:p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 xml:space="preserve">L’adjudant accomplit ses tâches dans le </w:t>
            </w:r>
            <w:r w:rsidR="001A33E8">
              <w:rPr>
                <w:sz w:val="20"/>
                <w:szCs w:val="20"/>
                <w:lang w:val="fr-FR"/>
              </w:rPr>
              <w:t xml:space="preserve">cadre des </w:t>
            </w:r>
            <w:r w:rsidR="00EE0962">
              <w:rPr>
                <w:sz w:val="20"/>
                <w:szCs w:val="20"/>
                <w:lang w:val="fr-FR"/>
              </w:rPr>
              <w:t>missions de base</w:t>
            </w:r>
            <w:r w:rsidRPr="001A33E8">
              <w:rPr>
                <w:sz w:val="20"/>
                <w:szCs w:val="20"/>
                <w:lang w:val="fr-FR"/>
              </w:rPr>
              <w:t xml:space="preserve">. En tant que premier dirigeant sur les lieux d’un incident, il doit établir un plan provisoire. Il doit être capable de le faire lors de chaque incident. A cet effet, il a besoin </w:t>
            </w:r>
            <w:r w:rsidR="001A33E8">
              <w:rPr>
                <w:sz w:val="20"/>
                <w:szCs w:val="20"/>
                <w:lang w:val="fr-FR"/>
              </w:rPr>
              <w:t>de</w:t>
            </w:r>
            <w:r w:rsidRPr="001A33E8">
              <w:rPr>
                <w:sz w:val="20"/>
                <w:szCs w:val="20"/>
                <w:lang w:val="fr-FR"/>
              </w:rPr>
              <w:t xml:space="preserve"> connaissance</w:t>
            </w:r>
            <w:r w:rsidR="001A33E8">
              <w:rPr>
                <w:sz w:val="20"/>
                <w:szCs w:val="20"/>
                <w:lang w:val="fr-FR"/>
              </w:rPr>
              <w:t>s</w:t>
            </w:r>
            <w:r w:rsidRPr="001A33E8">
              <w:rPr>
                <w:sz w:val="20"/>
                <w:szCs w:val="20"/>
                <w:lang w:val="fr-FR"/>
              </w:rPr>
              <w:t xml:space="preserve"> de base suffisante</w:t>
            </w:r>
            <w:r w:rsidR="001A33E8">
              <w:rPr>
                <w:sz w:val="20"/>
                <w:szCs w:val="20"/>
                <w:lang w:val="fr-FR"/>
              </w:rPr>
              <w:t>s</w:t>
            </w:r>
            <w:r w:rsidRPr="001A33E8">
              <w:rPr>
                <w:sz w:val="20"/>
                <w:szCs w:val="20"/>
                <w:lang w:val="fr-FR"/>
              </w:rPr>
              <w:t xml:space="preserve">. Il veille à l’impact </w:t>
            </w:r>
            <w:r w:rsidR="001A33E8">
              <w:rPr>
                <w:sz w:val="20"/>
                <w:szCs w:val="20"/>
                <w:lang w:val="fr-FR"/>
              </w:rPr>
              <w:t>éventuel d’</w:t>
            </w:r>
            <w:r w:rsidRPr="001A33E8">
              <w:rPr>
                <w:sz w:val="20"/>
                <w:szCs w:val="20"/>
                <w:lang w:val="fr-FR"/>
              </w:rPr>
              <w:t>un incident</w:t>
            </w:r>
            <w:r w:rsidR="00EE0962">
              <w:rPr>
                <w:sz w:val="20"/>
                <w:szCs w:val="20"/>
                <w:lang w:val="fr-FR"/>
              </w:rPr>
              <w:t xml:space="preserve"> sur la société.</w:t>
            </w:r>
          </w:p>
          <w:p w:rsidR="00CE3E2D" w:rsidRPr="001A33E8" w:rsidRDefault="00CB620A" w:rsidP="00CE3E2D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 xml:space="preserve">La fonction d’adjudant </w:t>
            </w:r>
            <w:r w:rsidR="0034231B">
              <w:rPr>
                <w:sz w:val="20"/>
                <w:szCs w:val="20"/>
                <w:lang w:val="fr-FR"/>
              </w:rPr>
              <w:t>implique diverses</w:t>
            </w:r>
            <w:r w:rsidRPr="001A33E8">
              <w:rPr>
                <w:sz w:val="20"/>
                <w:szCs w:val="20"/>
                <w:lang w:val="fr-FR"/>
              </w:rPr>
              <w:t xml:space="preserve"> responsabilités</w:t>
            </w:r>
            <w:r w:rsidR="0034231B">
              <w:rPr>
                <w:sz w:val="20"/>
                <w:szCs w:val="20"/>
                <w:lang w:val="fr-FR"/>
              </w:rPr>
              <w:t>.</w:t>
            </w:r>
            <w:r w:rsidR="00CE3E2D" w:rsidRPr="001A33E8">
              <w:rPr>
                <w:sz w:val="20"/>
                <w:szCs w:val="20"/>
                <w:lang w:val="fr-FR"/>
              </w:rPr>
              <w:t xml:space="preserve"> </w:t>
            </w:r>
            <w:r w:rsidRPr="001A33E8">
              <w:rPr>
                <w:sz w:val="20"/>
                <w:szCs w:val="20"/>
                <w:lang w:val="fr-FR"/>
              </w:rPr>
              <w:t xml:space="preserve">L’adjudant </w:t>
            </w:r>
            <w:r w:rsidR="002F6E73">
              <w:rPr>
                <w:sz w:val="20"/>
                <w:szCs w:val="20"/>
                <w:lang w:val="fr-FR"/>
              </w:rPr>
              <w:t>a</w:t>
            </w:r>
            <w:r w:rsidR="0090005B">
              <w:rPr>
                <w:sz w:val="20"/>
                <w:szCs w:val="20"/>
                <w:lang w:val="fr-FR"/>
              </w:rPr>
              <w:t xml:space="preserve"> </w:t>
            </w:r>
            <w:r w:rsidRPr="001A33E8">
              <w:rPr>
                <w:sz w:val="20"/>
                <w:szCs w:val="20"/>
                <w:lang w:val="fr-FR"/>
              </w:rPr>
              <w:t xml:space="preserve">la direction de l’équipage d’une autopompe (multifonctionnelle) et de l’équipage de véhicules </w:t>
            </w:r>
            <w:r w:rsidR="0034231B">
              <w:rPr>
                <w:sz w:val="20"/>
                <w:szCs w:val="20"/>
                <w:lang w:val="fr-FR"/>
              </w:rPr>
              <w:t>spécifiques</w:t>
            </w:r>
            <w:r w:rsidRPr="001A33E8">
              <w:rPr>
                <w:sz w:val="20"/>
                <w:szCs w:val="20"/>
                <w:lang w:val="fr-FR"/>
              </w:rPr>
              <w:t xml:space="preserve"> liés à </w:t>
            </w:r>
            <w:r w:rsidR="00EE0962">
              <w:rPr>
                <w:sz w:val="20"/>
                <w:szCs w:val="20"/>
                <w:lang w:val="fr-FR"/>
              </w:rPr>
              <w:t>l’</w:t>
            </w:r>
            <w:r w:rsidRPr="001A33E8">
              <w:rPr>
                <w:sz w:val="20"/>
                <w:szCs w:val="20"/>
                <w:lang w:val="fr-FR"/>
              </w:rPr>
              <w:t>autopompe</w:t>
            </w:r>
            <w:r w:rsidR="00EE0962">
              <w:rPr>
                <w:sz w:val="20"/>
                <w:szCs w:val="20"/>
                <w:lang w:val="fr-FR"/>
              </w:rPr>
              <w:t>.</w:t>
            </w:r>
            <w:r w:rsidRPr="001A33E8">
              <w:rPr>
                <w:sz w:val="20"/>
                <w:szCs w:val="20"/>
                <w:lang w:val="fr-FR"/>
              </w:rPr>
              <w:t xml:space="preserve"> Il a des tâches, des compétences et des responsabilités </w:t>
            </w:r>
            <w:r w:rsidR="0034231B">
              <w:rPr>
                <w:sz w:val="20"/>
                <w:szCs w:val="20"/>
                <w:lang w:val="fr-FR"/>
              </w:rPr>
              <w:t>relatives à</w:t>
            </w:r>
            <w:r w:rsidRPr="001A33E8">
              <w:rPr>
                <w:sz w:val="20"/>
                <w:szCs w:val="20"/>
                <w:lang w:val="fr-FR"/>
              </w:rPr>
              <w:t xml:space="preserve"> la direction opérationnelle et</w:t>
            </w:r>
            <w:r w:rsidR="0034231B">
              <w:rPr>
                <w:sz w:val="20"/>
                <w:szCs w:val="20"/>
                <w:lang w:val="fr-FR"/>
              </w:rPr>
              <w:t xml:space="preserve"> à la coordination </w:t>
            </w:r>
            <w:r w:rsidRPr="001A33E8">
              <w:rPr>
                <w:sz w:val="20"/>
                <w:szCs w:val="20"/>
                <w:lang w:val="fr-FR"/>
              </w:rPr>
              <w:t>de</w:t>
            </w:r>
            <w:r w:rsidR="0034231B">
              <w:rPr>
                <w:sz w:val="20"/>
                <w:szCs w:val="20"/>
                <w:lang w:val="fr-FR"/>
              </w:rPr>
              <w:t>s</w:t>
            </w:r>
            <w:r w:rsidRPr="001A33E8">
              <w:rPr>
                <w:sz w:val="20"/>
                <w:szCs w:val="20"/>
                <w:lang w:val="fr-FR"/>
              </w:rPr>
              <w:t xml:space="preserve"> personnes et de</w:t>
            </w:r>
            <w:r w:rsidR="0034231B">
              <w:rPr>
                <w:sz w:val="20"/>
                <w:szCs w:val="20"/>
                <w:lang w:val="fr-FR"/>
              </w:rPr>
              <w:t>s</w:t>
            </w:r>
            <w:r w:rsidRPr="001A33E8">
              <w:rPr>
                <w:sz w:val="20"/>
                <w:szCs w:val="20"/>
                <w:lang w:val="fr-FR"/>
              </w:rPr>
              <w:t xml:space="preserve"> moyens dès le départ en intervention </w:t>
            </w:r>
            <w:r w:rsidR="0034231B">
              <w:rPr>
                <w:sz w:val="20"/>
                <w:szCs w:val="20"/>
                <w:lang w:val="fr-FR"/>
              </w:rPr>
              <w:t>jusqu’au</w:t>
            </w:r>
            <w:r w:rsidRPr="001A33E8">
              <w:rPr>
                <w:sz w:val="20"/>
                <w:szCs w:val="20"/>
                <w:lang w:val="fr-FR"/>
              </w:rPr>
              <w:t xml:space="preserve"> retour</w:t>
            </w:r>
            <w:r w:rsidR="0034231B">
              <w:rPr>
                <w:sz w:val="20"/>
                <w:szCs w:val="20"/>
                <w:lang w:val="fr-FR"/>
              </w:rPr>
              <w:t xml:space="preserve"> à la caserne. Dans le cas d’un</w:t>
            </w:r>
            <w:r w:rsidR="008C78F1">
              <w:rPr>
                <w:sz w:val="20"/>
                <w:szCs w:val="20"/>
                <w:lang w:val="fr-FR"/>
              </w:rPr>
              <w:t>e montée en puissance</w:t>
            </w:r>
            <w:r w:rsidRPr="001A33E8">
              <w:rPr>
                <w:sz w:val="20"/>
                <w:szCs w:val="20"/>
                <w:lang w:val="fr-FR"/>
              </w:rPr>
              <w:t>, il a</w:t>
            </w:r>
            <w:r w:rsidR="0034231B">
              <w:rPr>
                <w:sz w:val="20"/>
                <w:szCs w:val="20"/>
                <w:lang w:val="fr-FR"/>
              </w:rPr>
              <w:t>ssure</w:t>
            </w:r>
            <w:r w:rsidRPr="001A33E8">
              <w:rPr>
                <w:sz w:val="20"/>
                <w:szCs w:val="20"/>
                <w:lang w:val="fr-FR"/>
              </w:rPr>
              <w:t xml:space="preserve"> la direction des </w:t>
            </w:r>
            <w:r w:rsidR="00EE0962">
              <w:rPr>
                <w:sz w:val="20"/>
                <w:szCs w:val="20"/>
                <w:lang w:val="fr-FR"/>
              </w:rPr>
              <w:t>équipes</w:t>
            </w:r>
            <w:r w:rsidRPr="001A33E8">
              <w:rPr>
                <w:sz w:val="20"/>
                <w:szCs w:val="20"/>
                <w:lang w:val="fr-FR"/>
              </w:rPr>
              <w:t xml:space="preserve"> (d’extinction) jusqu’à l’arrivée de l’officier. Lorsque ce dernier est présent, il agit sous la responsabilité de l’officier. Si les </w:t>
            </w:r>
            <w:r w:rsidR="005F070B">
              <w:rPr>
                <w:sz w:val="20"/>
                <w:szCs w:val="20"/>
                <w:lang w:val="fr-FR"/>
              </w:rPr>
              <w:t xml:space="preserve">circonstances le requièrent, l’adjudant </w:t>
            </w:r>
            <w:r w:rsidRPr="001A33E8">
              <w:rPr>
                <w:sz w:val="20"/>
                <w:szCs w:val="20"/>
                <w:lang w:val="fr-FR"/>
              </w:rPr>
              <w:t xml:space="preserve">agit </w:t>
            </w:r>
            <w:r w:rsidR="0034231B">
              <w:rPr>
                <w:sz w:val="20"/>
                <w:szCs w:val="20"/>
                <w:lang w:val="fr-FR"/>
              </w:rPr>
              <w:t>de sa propre initiative</w:t>
            </w:r>
            <w:r w:rsidRPr="001A33E8">
              <w:rPr>
                <w:sz w:val="20"/>
                <w:szCs w:val="20"/>
                <w:lang w:val="fr-FR"/>
              </w:rPr>
              <w:t xml:space="preserve">. Il </w:t>
            </w:r>
            <w:r w:rsidR="0034231B">
              <w:rPr>
                <w:sz w:val="20"/>
                <w:szCs w:val="20"/>
                <w:lang w:val="fr-FR"/>
              </w:rPr>
              <w:t>utilise</w:t>
            </w:r>
            <w:r w:rsidRPr="001A33E8">
              <w:rPr>
                <w:sz w:val="20"/>
                <w:szCs w:val="20"/>
                <w:lang w:val="fr-FR"/>
              </w:rPr>
              <w:t xml:space="preserve"> le matériel standard du véhicule d’incendie, éventuellement complété de moyens d’autres véhicules</w:t>
            </w:r>
            <w:r w:rsidR="00B74E91" w:rsidRPr="001A33E8">
              <w:rPr>
                <w:sz w:val="20"/>
                <w:szCs w:val="20"/>
                <w:lang w:val="fr-FR"/>
              </w:rPr>
              <w:t>.</w:t>
            </w:r>
          </w:p>
          <w:p w:rsidR="00EE0962" w:rsidRDefault="00EE0962" w:rsidP="002A4B21">
            <w:pPr>
              <w:rPr>
                <w:sz w:val="20"/>
                <w:szCs w:val="20"/>
                <w:lang w:val="fr-FR"/>
              </w:rPr>
            </w:pPr>
          </w:p>
          <w:p w:rsidR="00794D0F" w:rsidRDefault="00794D0F" w:rsidP="002A4B21">
            <w:pPr>
              <w:rPr>
                <w:sz w:val="20"/>
                <w:szCs w:val="20"/>
                <w:lang w:val="fr-FR"/>
              </w:rPr>
            </w:pPr>
          </w:p>
          <w:p w:rsidR="00794D0F" w:rsidRPr="001A33E8" w:rsidRDefault="00794D0F" w:rsidP="002A4B21">
            <w:pPr>
              <w:rPr>
                <w:sz w:val="20"/>
                <w:szCs w:val="20"/>
                <w:lang w:val="fr-FR"/>
              </w:rPr>
            </w:pPr>
          </w:p>
        </w:tc>
      </w:tr>
      <w:tr w:rsidR="00CB620A" w:rsidRPr="00C33D3E" w:rsidTr="00EE0962">
        <w:tc>
          <w:tcPr>
            <w:tcW w:w="2754" w:type="dxa"/>
            <w:shd w:val="clear" w:color="auto" w:fill="auto"/>
          </w:tcPr>
          <w:p w:rsidR="00CB620A" w:rsidRPr="002F6E73" w:rsidRDefault="00CB620A" w:rsidP="00807FFC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2F6E73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807FFC" w:rsidRPr="002F6E73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2F6E73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807FFC" w:rsidRPr="002F6E73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Pr="002F6E73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6528" w:type="dxa"/>
            <w:gridSpan w:val="4"/>
            <w:shd w:val="clear" w:color="auto" w:fill="auto"/>
          </w:tcPr>
          <w:p w:rsidR="00CB620A" w:rsidRPr="002F6E73" w:rsidRDefault="00CB620A" w:rsidP="00CB620A">
            <w:pPr>
              <w:rPr>
                <w:sz w:val="20"/>
                <w:szCs w:val="20"/>
                <w:lang w:val="fr-FR"/>
              </w:rPr>
            </w:pPr>
          </w:p>
          <w:p w:rsidR="00CB620A" w:rsidRPr="002F6E73" w:rsidRDefault="00CB620A" w:rsidP="00CB620A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2F6E73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Finalités</w:t>
            </w:r>
            <w:r w:rsidR="00807FFC" w:rsidRPr="002F6E73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-</w:t>
            </w:r>
            <w:r w:rsidRPr="002F6E73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clés</w:t>
            </w:r>
          </w:p>
          <w:p w:rsidR="00CB620A" w:rsidRPr="002F6E73" w:rsidRDefault="00CB620A" w:rsidP="00CB620A">
            <w:pPr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</w:p>
          <w:p w:rsidR="00CB620A" w:rsidRPr="002F6E73" w:rsidRDefault="00CB620A" w:rsidP="00CB620A">
            <w:pPr>
              <w:numPr>
                <w:ilvl w:val="0"/>
                <w:numId w:val="3"/>
              </w:numPr>
              <w:tabs>
                <w:tab w:val="clear" w:pos="720"/>
                <w:tab w:val="num" w:pos="629"/>
              </w:tabs>
              <w:ind w:left="346" w:hanging="346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2F6E73">
              <w:rPr>
                <w:rFonts w:cs="Arial"/>
                <w:sz w:val="20"/>
                <w:szCs w:val="20"/>
                <w:u w:val="single"/>
                <w:lang w:val="fr-FR"/>
              </w:rPr>
              <w:t>Dirigeant opérationnel (Intervention)</w:t>
            </w:r>
          </w:p>
          <w:p w:rsidR="00CB620A" w:rsidRPr="002F6E73" w:rsidRDefault="00CB620A" w:rsidP="00CB620A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CB620A" w:rsidRPr="002F6E73" w:rsidRDefault="00CB620A" w:rsidP="00CB620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Intervenir en tant que responsable sur le terrain pour un</w:t>
            </w:r>
            <w:r w:rsidR="0034231B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groupe </w:t>
            </w:r>
            <w:r w:rsidR="0034231B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restreint </w:t>
            </w: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de collaborateurs afin de réaliser les missions opérationnelles de la zone de</w:t>
            </w:r>
            <w:r w:rsidR="0034231B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la</w:t>
            </w: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manière </w:t>
            </w:r>
            <w:r w:rsidR="0034231B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la plus</w:t>
            </w: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effective, </w:t>
            </w:r>
            <w:r w:rsidR="00EE0962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efficiente</w:t>
            </w: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 surtout </w:t>
            </w:r>
            <w:r w:rsidR="0034231B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sécurisée</w:t>
            </w: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possible.</w:t>
            </w:r>
          </w:p>
          <w:p w:rsidR="00CB620A" w:rsidRPr="002F6E73" w:rsidRDefault="00CB620A" w:rsidP="00CB620A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CB620A" w:rsidRPr="002F6E73" w:rsidRDefault="00CB620A" w:rsidP="00CB620A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2F6E73">
              <w:rPr>
                <w:rFonts w:cs="Arial"/>
                <w:sz w:val="20"/>
                <w:szCs w:val="20"/>
                <w:u w:val="single"/>
                <w:lang w:val="fr-FR"/>
              </w:rPr>
              <w:t xml:space="preserve">Tâches </w:t>
            </w:r>
            <w:r w:rsidR="007D4074" w:rsidRPr="002F6E73">
              <w:rPr>
                <w:rFonts w:cs="Arial"/>
                <w:sz w:val="20"/>
                <w:szCs w:val="20"/>
                <w:u w:val="single"/>
                <w:lang w:val="fr-FR"/>
              </w:rPr>
              <w:t>possibles</w:t>
            </w:r>
            <w:r w:rsidRPr="002F6E73">
              <w:rPr>
                <w:rFonts w:cs="Arial"/>
                <w:sz w:val="20"/>
                <w:szCs w:val="20"/>
                <w:u w:val="single"/>
                <w:lang w:val="fr-FR"/>
              </w:rPr>
              <w:t xml:space="preserve"> (non limitative</w:t>
            </w:r>
            <w:r w:rsidR="007D4074" w:rsidRPr="002F6E73">
              <w:rPr>
                <w:rFonts w:cs="Arial"/>
                <w:sz w:val="20"/>
                <w:szCs w:val="20"/>
                <w:u w:val="single"/>
                <w:lang w:val="fr-FR"/>
              </w:rPr>
              <w:t>s</w:t>
            </w:r>
            <w:r w:rsidRPr="002F6E73">
              <w:rPr>
                <w:rFonts w:cs="Arial"/>
                <w:sz w:val="20"/>
                <w:szCs w:val="20"/>
                <w:u w:val="single"/>
                <w:lang w:val="fr-FR"/>
              </w:rPr>
              <w:t>):</w:t>
            </w:r>
          </w:p>
          <w:p w:rsidR="00CB620A" w:rsidRPr="002F6E73" w:rsidRDefault="00CB620A" w:rsidP="00CB620A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Diriger une équipe d’intervention de base au cours </w:t>
            </w: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lastRenderedPageBreak/>
              <w:t>d’interventio</w:t>
            </w:r>
            <w:r w:rsidR="0034231B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ns (sauvetage, lutte contre l’incendie</w:t>
            </w: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, assistance technique, …)</w:t>
            </w:r>
            <w:r w:rsidR="003F1E1F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B620A" w:rsidRPr="002F6E73" w:rsidRDefault="00CB620A" w:rsidP="00CB620A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Veiller à la sécurité des </w:t>
            </w:r>
            <w:r w:rsidR="00EE0962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collaborateurs.</w:t>
            </w:r>
          </w:p>
          <w:p w:rsidR="00CB620A" w:rsidRPr="002F6E73" w:rsidRDefault="00CB620A" w:rsidP="00CB620A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Décider de la nature et de la priorité des actions à effectuer et veiller à l’application correcte des procédures opérationnelles.</w:t>
            </w:r>
          </w:p>
          <w:p w:rsidR="00CB620A" w:rsidRPr="00794D0F" w:rsidRDefault="0034231B" w:rsidP="00CB620A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Evaluer la nécessité d</w:t>
            </w:r>
            <w:r w:rsidR="008C78F1">
              <w:rPr>
                <w:rFonts w:cs="Arial"/>
                <w:color w:val="000000"/>
                <w:sz w:val="20"/>
                <w:szCs w:val="20"/>
                <w:lang w:val="fr-FR"/>
              </w:rPr>
              <w:t>’</w:t>
            </w:r>
            <w:r w:rsidR="008C78F1">
              <w:rPr>
                <w:sz w:val="20"/>
                <w:szCs w:val="20"/>
                <w:lang w:val="fr-FR"/>
              </w:rPr>
              <w:t xml:space="preserve"> une montée en puissance</w:t>
            </w: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CB620A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et décider si la situation est </w:t>
            </w:r>
            <w:r w:rsidR="00CB620A" w:rsidRPr="00794D0F">
              <w:rPr>
                <w:rFonts w:cs="Arial"/>
                <w:color w:val="000000"/>
                <w:sz w:val="20"/>
                <w:szCs w:val="20"/>
                <w:lang w:val="fr-FR"/>
              </w:rPr>
              <w:t>sous contrôle ou a été stabilisée</w:t>
            </w:r>
            <w:r w:rsidRPr="00794D0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en </w:t>
            </w:r>
            <w:r w:rsidR="00C33D3E">
              <w:rPr>
                <w:rFonts w:cs="Arial"/>
                <w:color w:val="000000"/>
                <w:sz w:val="20"/>
                <w:szCs w:val="20"/>
                <w:lang w:val="fr-FR"/>
              </w:rPr>
              <w:t>attendant la présence</w:t>
            </w:r>
            <w:r w:rsidRPr="00794D0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</w:t>
            </w:r>
            <w:r w:rsidR="00C33D3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’un </w:t>
            </w:r>
            <w:r w:rsidRPr="00794D0F">
              <w:rPr>
                <w:rFonts w:cs="Arial"/>
                <w:color w:val="000000"/>
                <w:sz w:val="20"/>
                <w:szCs w:val="20"/>
                <w:lang w:val="fr-FR"/>
              </w:rPr>
              <w:t>officier</w:t>
            </w:r>
            <w:r w:rsidR="003F1E1F" w:rsidRPr="00794D0F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33D3E" w:rsidRDefault="00CB620A" w:rsidP="00E235CE">
            <w:pPr>
              <w:numPr>
                <w:ilvl w:val="1"/>
                <w:numId w:val="19"/>
              </w:numPr>
              <w:tabs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794D0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Coordonner plusieurs équipes d’intervention </w:t>
            </w:r>
            <w:bookmarkStart w:id="0" w:name="_GoBack"/>
            <w:r w:rsidR="00C33D3E" w:rsidRPr="00794D0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</w:t>
            </w:r>
            <w:r w:rsidR="00C33D3E">
              <w:rPr>
                <w:rFonts w:cs="Arial"/>
                <w:color w:val="000000"/>
                <w:sz w:val="20"/>
                <w:szCs w:val="20"/>
                <w:lang w:val="fr-FR"/>
              </w:rPr>
              <w:t>attendant la présence</w:t>
            </w:r>
            <w:r w:rsidR="00C33D3E" w:rsidRPr="00794D0F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</w:t>
            </w:r>
            <w:r w:rsidR="00C33D3E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’un </w:t>
            </w:r>
            <w:r w:rsidR="00C33D3E" w:rsidRPr="00794D0F">
              <w:rPr>
                <w:rFonts w:cs="Arial"/>
                <w:color w:val="000000"/>
                <w:sz w:val="20"/>
                <w:szCs w:val="20"/>
                <w:lang w:val="fr-FR"/>
              </w:rPr>
              <w:t>officier.</w:t>
            </w:r>
          </w:p>
          <w:bookmarkEnd w:id="0"/>
          <w:p w:rsidR="00E235CE" w:rsidRPr="00794D0F" w:rsidRDefault="00E235CE" w:rsidP="00E235CE">
            <w:pPr>
              <w:numPr>
                <w:ilvl w:val="1"/>
                <w:numId w:val="19"/>
              </w:numPr>
              <w:tabs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794D0F">
              <w:rPr>
                <w:rFonts w:cs="Arial"/>
                <w:sz w:val="20"/>
                <w:szCs w:val="20"/>
                <w:lang w:val="fr-FR"/>
              </w:rPr>
              <w:t>Faire un débriefing après une intervention.</w:t>
            </w:r>
          </w:p>
          <w:p w:rsidR="00CB620A" w:rsidRPr="002F6E73" w:rsidRDefault="00CB620A" w:rsidP="00E235CE">
            <w:pPr>
              <w:tabs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CB620A" w:rsidRDefault="00CB620A" w:rsidP="00CB620A">
            <w:pPr>
              <w:tabs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E235CE" w:rsidRPr="002F6E73" w:rsidRDefault="00E235CE" w:rsidP="00CB620A">
            <w:pPr>
              <w:tabs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CB620A" w:rsidRPr="002F6E73" w:rsidRDefault="007D4074" w:rsidP="00CB620A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ind w:left="346" w:hanging="284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2F6E73">
              <w:rPr>
                <w:rFonts w:cs="Arial"/>
                <w:sz w:val="20"/>
                <w:szCs w:val="20"/>
                <w:u w:val="single"/>
                <w:lang w:val="fr-FR"/>
              </w:rPr>
              <w:t>Collaborateur opérationnel (p</w:t>
            </w:r>
            <w:r w:rsidR="00CB620A" w:rsidRPr="002F6E73">
              <w:rPr>
                <w:rFonts w:cs="Arial"/>
                <w:sz w:val="20"/>
                <w:szCs w:val="20"/>
                <w:u w:val="single"/>
                <w:lang w:val="fr-FR"/>
              </w:rPr>
              <w:t>réparation)</w:t>
            </w:r>
          </w:p>
          <w:p w:rsidR="00CB620A" w:rsidRPr="002F6E73" w:rsidRDefault="00CB620A" w:rsidP="00CB620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CB620A" w:rsidRPr="002F6E73" w:rsidRDefault="00CB620A" w:rsidP="00CB620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Entretenir sa condition physique et participer à des exercices et formations permettant d’exécuter ses tâches en toute sécurité pour </w:t>
            </w:r>
            <w:r w:rsidR="00FB6EA6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lui</w:t>
            </w: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-même, ses collègues et les personnes en détresse.</w:t>
            </w:r>
          </w:p>
          <w:p w:rsidR="00CB620A" w:rsidRPr="002F6E73" w:rsidRDefault="00CB620A" w:rsidP="00CB620A">
            <w:pPr>
              <w:ind w:firstLine="360"/>
              <w:rPr>
                <w:rFonts w:cs="Arial"/>
                <w:sz w:val="20"/>
                <w:szCs w:val="20"/>
                <w:lang w:val="fr-FR"/>
              </w:rPr>
            </w:pPr>
          </w:p>
          <w:p w:rsidR="00CB620A" w:rsidRPr="002F6E73" w:rsidRDefault="00CB620A" w:rsidP="00CB620A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2F6E73">
              <w:rPr>
                <w:rFonts w:cs="Arial"/>
                <w:sz w:val="20"/>
                <w:szCs w:val="20"/>
                <w:u w:val="single"/>
                <w:lang w:val="fr-FR"/>
              </w:rPr>
              <w:t xml:space="preserve">Tâches </w:t>
            </w:r>
            <w:r w:rsidR="007D4074" w:rsidRPr="002F6E73">
              <w:rPr>
                <w:rFonts w:cs="Arial"/>
                <w:sz w:val="20"/>
                <w:szCs w:val="20"/>
                <w:u w:val="single"/>
                <w:lang w:val="fr-FR"/>
              </w:rPr>
              <w:t>possibles</w:t>
            </w:r>
            <w:r w:rsidRPr="002F6E73">
              <w:rPr>
                <w:rFonts w:cs="Arial"/>
                <w:sz w:val="20"/>
                <w:szCs w:val="20"/>
                <w:u w:val="single"/>
                <w:lang w:val="fr-FR"/>
              </w:rPr>
              <w:t xml:space="preserve"> (non limitatives):</w:t>
            </w:r>
          </w:p>
          <w:p w:rsidR="00EE0962" w:rsidRPr="002F6E73" w:rsidRDefault="00EE0962" w:rsidP="00EE0962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Toutes les tâches opérationnelles d’exécution demandées également au sapeur-pompier, au caporal ou au sergent (car il est possible que l’adjudant soit amené à combler une fonction inoccupée en tant que sapeur-pompier, caporal ou sergent).</w:t>
            </w:r>
          </w:p>
          <w:p w:rsidR="00EE0962" w:rsidRPr="002F6E73" w:rsidRDefault="00EE0962" w:rsidP="00EE0962">
            <w:pPr>
              <w:numPr>
                <w:ilvl w:val="0"/>
                <w:numId w:val="16"/>
              </w:numPr>
              <w:outlineLvl w:val="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Participer à des exercices physiques, organisés par la zone.</w:t>
            </w:r>
          </w:p>
          <w:p w:rsidR="00EE0962" w:rsidRPr="002F6E73" w:rsidRDefault="00EE0962" w:rsidP="00EE0962">
            <w:pPr>
              <w:numPr>
                <w:ilvl w:val="0"/>
                <w:numId w:val="16"/>
              </w:numPr>
              <w:outlineLvl w:val="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Participer à des exercices, formations, simulations, visites sur le terrain et formations complémentaires, axés notamment sur la connaissance du territoire de la zone.</w:t>
            </w:r>
          </w:p>
          <w:p w:rsidR="00CB620A" w:rsidRDefault="00CB620A" w:rsidP="00EE0962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794D0F" w:rsidRPr="002F6E73" w:rsidRDefault="00794D0F" w:rsidP="00EE0962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B620A" w:rsidRPr="00C33D3E" w:rsidTr="00EE0962">
        <w:tc>
          <w:tcPr>
            <w:tcW w:w="2754" w:type="dxa"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1A33E8">
              <w:rPr>
                <w:b/>
                <w:color w:val="0000FF"/>
                <w:sz w:val="20"/>
                <w:szCs w:val="20"/>
                <w:lang w:val="fr-FR"/>
              </w:rPr>
              <w:lastRenderedPageBreak/>
              <w:t>Place dans l’organisation</w:t>
            </w:r>
          </w:p>
        </w:tc>
        <w:tc>
          <w:tcPr>
            <w:tcW w:w="6528" w:type="dxa"/>
            <w:gridSpan w:val="4"/>
            <w:shd w:val="clear" w:color="auto" w:fill="auto"/>
          </w:tcPr>
          <w:p w:rsidR="00CB620A" w:rsidRPr="002F6E73" w:rsidRDefault="00CB620A" w:rsidP="00CB620A">
            <w:pPr>
              <w:rPr>
                <w:sz w:val="20"/>
                <w:szCs w:val="20"/>
                <w:lang w:val="fr-FR"/>
              </w:rPr>
            </w:pPr>
          </w:p>
          <w:p w:rsidR="00CB620A" w:rsidRPr="002F6E73" w:rsidRDefault="00923083" w:rsidP="00CB620A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2F6E73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est dirigée par</w:t>
            </w:r>
            <w:r w:rsidR="00CB620A" w:rsidRPr="002F6E73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CB620A" w:rsidRPr="002F6E73" w:rsidRDefault="0059566B" w:rsidP="00CB620A">
            <w:pPr>
              <w:rPr>
                <w:rFonts w:cs="Arial"/>
                <w:sz w:val="20"/>
                <w:szCs w:val="20"/>
                <w:lang w:val="fr-FR"/>
              </w:rPr>
            </w:pPr>
            <w:r w:rsidRPr="002F6E73">
              <w:rPr>
                <w:rFonts w:cs="Arial"/>
                <w:sz w:val="20"/>
                <w:szCs w:val="20"/>
                <w:lang w:val="fr-FR"/>
              </w:rPr>
              <w:t>L’</w:t>
            </w:r>
            <w:r w:rsidR="00CB620A" w:rsidRPr="002F6E73">
              <w:rPr>
                <w:rFonts w:cs="Arial"/>
                <w:sz w:val="20"/>
                <w:szCs w:val="20"/>
                <w:lang w:val="fr-FR"/>
              </w:rPr>
              <w:t xml:space="preserve">adjudant </w:t>
            </w:r>
            <w:r w:rsidR="00923083" w:rsidRPr="002F6E73">
              <w:rPr>
                <w:rFonts w:cs="Arial"/>
                <w:sz w:val="20"/>
                <w:szCs w:val="20"/>
                <w:lang w:val="fr-FR"/>
              </w:rPr>
              <w:t>est placé sous la direction hiérarchique d’un officier</w:t>
            </w:r>
            <w:r w:rsidR="00CB620A" w:rsidRPr="002F6E73">
              <w:rPr>
                <w:rFonts w:cs="Arial"/>
                <w:sz w:val="20"/>
                <w:szCs w:val="20"/>
                <w:lang w:val="fr-FR"/>
              </w:rPr>
              <w:t>.</w:t>
            </w:r>
            <w:r w:rsidR="00923083" w:rsidRPr="002F6E73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EE0962" w:rsidRPr="002F6E73">
              <w:rPr>
                <w:rFonts w:cs="Arial"/>
                <w:sz w:val="20"/>
                <w:szCs w:val="20"/>
                <w:lang w:val="fr-FR"/>
              </w:rPr>
              <w:t>Pour le</w:t>
            </w:r>
            <w:r w:rsidR="00923083" w:rsidRPr="002F6E73">
              <w:rPr>
                <w:rFonts w:cs="Arial"/>
                <w:sz w:val="20"/>
                <w:szCs w:val="20"/>
                <w:lang w:val="fr-FR"/>
              </w:rPr>
              <w:t xml:space="preserve"> fonctionnement quotidien, il peut être placé sous la direction fonctionnelle d’un autre adjudant ou d’un </w:t>
            </w:r>
            <w:r w:rsidR="00FB6EA6" w:rsidRPr="002F6E73">
              <w:rPr>
                <w:rFonts w:cs="Arial"/>
                <w:sz w:val="20"/>
                <w:szCs w:val="20"/>
                <w:lang w:val="fr-FR"/>
              </w:rPr>
              <w:t xml:space="preserve">membre du </w:t>
            </w:r>
            <w:r w:rsidR="00923083" w:rsidRPr="002F6E73">
              <w:rPr>
                <w:rFonts w:cs="Arial"/>
                <w:sz w:val="20"/>
                <w:szCs w:val="20"/>
                <w:lang w:val="fr-FR"/>
              </w:rPr>
              <w:t>cadre supérieur</w:t>
            </w:r>
            <w:r w:rsidR="00CB620A" w:rsidRPr="002F6E73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CB620A" w:rsidRPr="002F6E73" w:rsidRDefault="00CB620A" w:rsidP="00CB620A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CB620A" w:rsidRPr="002F6E73" w:rsidRDefault="00923083" w:rsidP="00CB620A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2F6E73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La fonction dirige</w:t>
            </w:r>
            <w:r w:rsidR="00CB620A" w:rsidRPr="002F6E73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CB620A" w:rsidRPr="002F6E73" w:rsidRDefault="00DA0D49" w:rsidP="00CB620A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Dans des situations opérationnelles, l</w:t>
            </w:r>
            <w:r w:rsidR="00923083" w:rsidRPr="002F6E73">
              <w:rPr>
                <w:rFonts w:cs="Arial"/>
                <w:sz w:val="20"/>
                <w:szCs w:val="20"/>
                <w:lang w:val="fr-FR"/>
              </w:rPr>
              <w:t>’</w:t>
            </w:r>
            <w:r w:rsidR="00CB620A" w:rsidRPr="002F6E73">
              <w:rPr>
                <w:rFonts w:cs="Arial"/>
                <w:sz w:val="20"/>
                <w:szCs w:val="20"/>
                <w:lang w:val="fr-FR"/>
              </w:rPr>
              <w:t xml:space="preserve">adjudant </w:t>
            </w:r>
            <w:r w:rsidR="00923083" w:rsidRPr="002F6E73">
              <w:rPr>
                <w:rFonts w:cs="Arial"/>
                <w:sz w:val="20"/>
                <w:szCs w:val="20"/>
                <w:lang w:val="fr-FR"/>
              </w:rPr>
              <w:t xml:space="preserve">dirige un groupe de </w:t>
            </w:r>
            <w:r w:rsidR="00EE0962" w:rsidRPr="002F6E73">
              <w:rPr>
                <w:rFonts w:cs="Arial"/>
                <w:sz w:val="20"/>
                <w:szCs w:val="20"/>
                <w:lang w:val="fr-FR"/>
              </w:rPr>
              <w:t xml:space="preserve">maximum </w:t>
            </w:r>
            <w:r w:rsidR="004D7A20">
              <w:rPr>
                <w:rFonts w:cs="Arial"/>
                <w:sz w:val="20"/>
                <w:szCs w:val="20"/>
                <w:lang w:val="fr-FR"/>
              </w:rPr>
              <w:t>3</w:t>
            </w:r>
            <w:r w:rsidR="00CB620A" w:rsidRPr="002F6E73">
              <w:rPr>
                <w:rFonts w:cs="Arial"/>
                <w:sz w:val="20"/>
                <w:szCs w:val="20"/>
                <w:lang w:val="fr-FR"/>
              </w:rPr>
              <w:t xml:space="preserve">0 </w:t>
            </w:r>
            <w:r w:rsidR="00923083" w:rsidRPr="002F6E73">
              <w:rPr>
                <w:rFonts w:cs="Arial"/>
                <w:sz w:val="20"/>
                <w:szCs w:val="20"/>
                <w:lang w:val="fr-FR"/>
              </w:rPr>
              <w:t>personnes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(indicatif)</w:t>
            </w:r>
            <w:r w:rsidR="00CB620A" w:rsidRPr="002F6E73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CB620A" w:rsidRPr="002F6E73" w:rsidRDefault="00CB620A" w:rsidP="00CB620A">
            <w:pPr>
              <w:rPr>
                <w:sz w:val="20"/>
                <w:szCs w:val="20"/>
                <w:lang w:val="fr-FR"/>
              </w:rPr>
            </w:pPr>
          </w:p>
        </w:tc>
      </w:tr>
      <w:tr w:rsidR="00CB620A" w:rsidRPr="00C33D3E" w:rsidTr="00EE0962">
        <w:tc>
          <w:tcPr>
            <w:tcW w:w="2754" w:type="dxa"/>
            <w:vMerge w:val="restart"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1A33E8">
              <w:rPr>
                <w:b/>
                <w:color w:val="0000FF"/>
                <w:sz w:val="20"/>
                <w:szCs w:val="20"/>
                <w:lang w:val="fr-FR"/>
              </w:rPr>
              <w:t>Eléments de réseau</w:t>
            </w:r>
          </w:p>
        </w:tc>
        <w:tc>
          <w:tcPr>
            <w:tcW w:w="6528" w:type="dxa"/>
            <w:gridSpan w:val="4"/>
            <w:shd w:val="clear" w:color="auto" w:fill="auto"/>
          </w:tcPr>
          <w:p w:rsidR="00EE0962" w:rsidRDefault="00EE0962" w:rsidP="00CB620A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  <w:p w:rsidR="00CB620A" w:rsidRPr="001A33E8" w:rsidRDefault="00CB620A" w:rsidP="00CB620A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1A33E8">
              <w:rPr>
                <w:b/>
                <w:sz w:val="20"/>
                <w:szCs w:val="20"/>
                <w:u w:val="single"/>
                <w:lang w:val="fr-FR"/>
              </w:rPr>
              <w:t>La fonction reçoit des informations de</w:t>
            </w:r>
            <w:r w:rsidR="007D4074" w:rsidRPr="001A33E8">
              <w:rPr>
                <w:b/>
                <w:sz w:val="20"/>
                <w:szCs w:val="20"/>
                <w:u w:val="single"/>
                <w:lang w:val="fr-FR"/>
              </w:rPr>
              <w:t> :</w:t>
            </w:r>
            <w:r w:rsidRPr="001A33E8">
              <w:rPr>
                <w:b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</w:p>
        </w:tc>
      </w:tr>
      <w:tr w:rsidR="00EE0962" w:rsidRPr="001A33E8" w:rsidTr="00EE0962">
        <w:tc>
          <w:tcPr>
            <w:tcW w:w="2754" w:type="dxa"/>
            <w:vMerge/>
            <w:shd w:val="clear" w:color="auto" w:fill="auto"/>
          </w:tcPr>
          <w:p w:rsidR="00EE0962" w:rsidRPr="001A33E8" w:rsidRDefault="00EE0962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vMerge w:val="restart"/>
            <w:shd w:val="clear" w:color="auto" w:fill="auto"/>
          </w:tcPr>
          <w:p w:rsidR="00EE0962" w:rsidRPr="001A33E8" w:rsidRDefault="00EE0962" w:rsidP="00EE096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(Sous-)officier d</w:t>
            </w:r>
            <w:r w:rsidRPr="001A33E8">
              <w:rPr>
                <w:sz w:val="20"/>
                <w:szCs w:val="20"/>
                <w:lang w:val="fr-FR"/>
              </w:rPr>
              <w:t>irigeant</w:t>
            </w:r>
          </w:p>
        </w:tc>
        <w:tc>
          <w:tcPr>
            <w:tcW w:w="2177" w:type="dxa"/>
            <w:shd w:val="clear" w:color="auto" w:fill="auto"/>
          </w:tcPr>
          <w:p w:rsidR="00EE0962" w:rsidRPr="001A33E8" w:rsidRDefault="00EE0962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 xml:space="preserve">Avis oraux </w:t>
            </w:r>
          </w:p>
        </w:tc>
        <w:tc>
          <w:tcPr>
            <w:tcW w:w="2116" w:type="dxa"/>
            <w:shd w:val="clear" w:color="auto" w:fill="auto"/>
          </w:tcPr>
          <w:p w:rsidR="00EE0962" w:rsidRPr="001A33E8" w:rsidRDefault="00EE0962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Contact personnel</w:t>
            </w:r>
          </w:p>
        </w:tc>
      </w:tr>
      <w:tr w:rsidR="00EE0962" w:rsidRPr="001A33E8" w:rsidTr="00EE0962">
        <w:tc>
          <w:tcPr>
            <w:tcW w:w="2754" w:type="dxa"/>
            <w:vMerge/>
            <w:shd w:val="clear" w:color="auto" w:fill="auto"/>
          </w:tcPr>
          <w:p w:rsidR="00EE0962" w:rsidRPr="001A33E8" w:rsidRDefault="00EE0962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</w:tcPr>
          <w:p w:rsidR="00EE0962" w:rsidRPr="001A33E8" w:rsidRDefault="00EE0962" w:rsidP="00CB620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77" w:type="dxa"/>
            <w:shd w:val="clear" w:color="auto" w:fill="auto"/>
          </w:tcPr>
          <w:p w:rsidR="00EE0962" w:rsidRPr="001A33E8" w:rsidRDefault="00EE0962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Décisions</w:t>
            </w:r>
          </w:p>
        </w:tc>
        <w:tc>
          <w:tcPr>
            <w:tcW w:w="2116" w:type="dxa"/>
            <w:shd w:val="clear" w:color="auto" w:fill="auto"/>
          </w:tcPr>
          <w:p w:rsidR="00EE0962" w:rsidRPr="001A33E8" w:rsidRDefault="00EE0962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Contact personnel, informel, mail,….</w:t>
            </w:r>
          </w:p>
        </w:tc>
      </w:tr>
      <w:tr w:rsidR="00CB620A" w:rsidRPr="001A33E8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CB620A" w:rsidRPr="001A33E8" w:rsidRDefault="00CB620A" w:rsidP="00EE0962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Off</w:t>
            </w:r>
            <w:r w:rsidR="00EE0962">
              <w:rPr>
                <w:sz w:val="20"/>
                <w:szCs w:val="20"/>
                <w:lang w:val="fr-FR"/>
              </w:rPr>
              <w:t>icier</w:t>
            </w:r>
            <w:r w:rsidR="003D572F">
              <w:rPr>
                <w:sz w:val="20"/>
                <w:szCs w:val="20"/>
                <w:lang w:val="fr-FR"/>
              </w:rPr>
              <w:t>s</w:t>
            </w:r>
            <w:r w:rsidR="00EE0962">
              <w:rPr>
                <w:sz w:val="20"/>
                <w:szCs w:val="20"/>
                <w:lang w:val="fr-FR"/>
              </w:rPr>
              <w:t xml:space="preserve"> supérieur</w:t>
            </w:r>
            <w:r w:rsidR="003D572F">
              <w:rPr>
                <w:sz w:val="20"/>
                <w:szCs w:val="20"/>
                <w:lang w:val="fr-FR"/>
              </w:rPr>
              <w:t>s</w:t>
            </w:r>
          </w:p>
        </w:tc>
        <w:tc>
          <w:tcPr>
            <w:tcW w:w="2177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Décisions</w:t>
            </w:r>
          </w:p>
        </w:tc>
        <w:tc>
          <w:tcPr>
            <w:tcW w:w="2116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Lettre, mail,….</w:t>
            </w:r>
          </w:p>
        </w:tc>
      </w:tr>
      <w:tr w:rsidR="00CB620A" w:rsidRPr="001A33E8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Collègues</w:t>
            </w:r>
          </w:p>
        </w:tc>
        <w:tc>
          <w:tcPr>
            <w:tcW w:w="2177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2116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Informel</w:t>
            </w:r>
          </w:p>
        </w:tc>
      </w:tr>
      <w:tr w:rsidR="00CB620A" w:rsidRPr="001A33E8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Collaborateurs</w:t>
            </w:r>
          </w:p>
        </w:tc>
        <w:tc>
          <w:tcPr>
            <w:tcW w:w="2177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2116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Contact personnel, informel, mail,….</w:t>
            </w:r>
          </w:p>
        </w:tc>
      </w:tr>
      <w:tr w:rsidR="00CB620A" w:rsidRPr="00C33D3E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28" w:type="dxa"/>
            <w:gridSpan w:val="4"/>
            <w:shd w:val="clear" w:color="auto" w:fill="auto"/>
          </w:tcPr>
          <w:p w:rsidR="00EE0962" w:rsidRDefault="00EE0962" w:rsidP="00CB620A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  <w:p w:rsidR="00CB620A" w:rsidRPr="001A33E8" w:rsidRDefault="00CB620A" w:rsidP="00CB620A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1A33E8">
              <w:rPr>
                <w:b/>
                <w:sz w:val="20"/>
                <w:szCs w:val="20"/>
                <w:u w:val="single"/>
                <w:lang w:val="fr-FR"/>
              </w:rPr>
              <w:t>La fonction fournit des informations à</w:t>
            </w:r>
            <w:r w:rsidR="007D4074" w:rsidRPr="001A33E8">
              <w:rPr>
                <w:b/>
                <w:sz w:val="20"/>
                <w:szCs w:val="20"/>
                <w:u w:val="single"/>
                <w:lang w:val="fr-FR"/>
              </w:rPr>
              <w:t> :</w:t>
            </w:r>
            <w:r w:rsidRPr="001A33E8">
              <w:rPr>
                <w:b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</w:p>
        </w:tc>
      </w:tr>
      <w:tr w:rsidR="00CB620A" w:rsidRPr="001A33E8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CB620A" w:rsidRPr="001A33E8" w:rsidRDefault="00EE0962" w:rsidP="00EE096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(Sous-)officier </w:t>
            </w:r>
            <w:r w:rsidR="00CB620A" w:rsidRPr="001A33E8">
              <w:rPr>
                <w:sz w:val="20"/>
                <w:szCs w:val="20"/>
                <w:lang w:val="fr-FR"/>
              </w:rPr>
              <w:t>dirigeant</w:t>
            </w:r>
          </w:p>
        </w:tc>
        <w:tc>
          <w:tcPr>
            <w:tcW w:w="2177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2116" w:type="dxa"/>
            <w:shd w:val="clear" w:color="auto" w:fill="auto"/>
          </w:tcPr>
          <w:p w:rsidR="00CB620A" w:rsidRPr="001A33E8" w:rsidRDefault="00CB620A" w:rsidP="00AC3A85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Contact personnel</w:t>
            </w:r>
          </w:p>
        </w:tc>
      </w:tr>
      <w:tr w:rsidR="00CB620A" w:rsidRPr="001A33E8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Collègues</w:t>
            </w:r>
          </w:p>
        </w:tc>
        <w:tc>
          <w:tcPr>
            <w:tcW w:w="2177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2116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Contact personnel, informel, mail,….</w:t>
            </w:r>
          </w:p>
        </w:tc>
      </w:tr>
      <w:tr w:rsidR="00CB620A" w:rsidRPr="001A33E8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Collaborateurs</w:t>
            </w:r>
          </w:p>
        </w:tc>
        <w:tc>
          <w:tcPr>
            <w:tcW w:w="2177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 xml:space="preserve">Questions orales et </w:t>
            </w:r>
            <w:r w:rsidRPr="001A33E8">
              <w:rPr>
                <w:sz w:val="20"/>
                <w:szCs w:val="20"/>
                <w:lang w:val="fr-FR"/>
              </w:rPr>
              <w:lastRenderedPageBreak/>
              <w:t>écrites, avis, décisions…</w:t>
            </w:r>
          </w:p>
        </w:tc>
        <w:tc>
          <w:tcPr>
            <w:tcW w:w="2116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lastRenderedPageBreak/>
              <w:t xml:space="preserve">Contact personnel, </w:t>
            </w:r>
            <w:r w:rsidRPr="001A33E8">
              <w:rPr>
                <w:sz w:val="20"/>
                <w:szCs w:val="20"/>
                <w:lang w:val="fr-FR"/>
              </w:rPr>
              <w:lastRenderedPageBreak/>
              <w:t>informel, mail,….</w:t>
            </w:r>
          </w:p>
        </w:tc>
      </w:tr>
      <w:tr w:rsidR="00CB620A" w:rsidRPr="001A33E8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Citoyens</w:t>
            </w:r>
          </w:p>
        </w:tc>
        <w:tc>
          <w:tcPr>
            <w:tcW w:w="2177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Questions orales et écrites, avis,…</w:t>
            </w:r>
          </w:p>
        </w:tc>
        <w:tc>
          <w:tcPr>
            <w:tcW w:w="2116" w:type="dxa"/>
            <w:shd w:val="clear" w:color="auto" w:fill="auto"/>
          </w:tcPr>
          <w:p w:rsidR="00CB620A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Contact personnel, informel, mail,….</w:t>
            </w:r>
          </w:p>
          <w:p w:rsidR="00794D0F" w:rsidRPr="001A33E8" w:rsidRDefault="00794D0F" w:rsidP="00CB620A">
            <w:pPr>
              <w:rPr>
                <w:sz w:val="20"/>
                <w:szCs w:val="20"/>
                <w:lang w:val="fr-FR"/>
              </w:rPr>
            </w:pPr>
          </w:p>
        </w:tc>
      </w:tr>
      <w:tr w:rsidR="00CB620A" w:rsidRPr="00C33D3E" w:rsidTr="00EE0962">
        <w:tc>
          <w:tcPr>
            <w:tcW w:w="2754" w:type="dxa"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1A33E8">
              <w:rPr>
                <w:b/>
                <w:color w:val="0000FF"/>
                <w:sz w:val="20"/>
                <w:szCs w:val="20"/>
                <w:lang w:val="fr-FR"/>
              </w:rPr>
              <w:t>Autonomie</w:t>
            </w:r>
          </w:p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28" w:type="dxa"/>
            <w:gridSpan w:val="4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</w:p>
          <w:p w:rsidR="00CB620A" w:rsidRPr="001A33E8" w:rsidRDefault="00923083" w:rsidP="00CB620A">
            <w:pPr>
              <w:jc w:val="both"/>
              <w:outlineLvl w:val="0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1A33E8">
              <w:rPr>
                <w:rFonts w:cs="Arial"/>
                <w:b/>
                <w:bCs/>
                <w:sz w:val="20"/>
                <w:szCs w:val="20"/>
                <w:lang w:val="fr-FR"/>
              </w:rPr>
              <w:t xml:space="preserve">La fonction peut décider de manière autonome </w:t>
            </w:r>
            <w:r w:rsidR="007D4074" w:rsidRPr="001A33E8">
              <w:rPr>
                <w:rFonts w:cs="Arial"/>
                <w:b/>
                <w:bCs/>
                <w:sz w:val="20"/>
                <w:szCs w:val="20"/>
                <w:lang w:val="fr-FR"/>
              </w:rPr>
              <w:t>pour les points suivants </w:t>
            </w:r>
            <w:r w:rsidR="00CB620A" w:rsidRPr="001A33E8">
              <w:rPr>
                <w:rFonts w:cs="Arial"/>
                <w:b/>
                <w:bCs/>
                <w:sz w:val="20"/>
                <w:szCs w:val="20"/>
                <w:lang w:val="fr-FR"/>
              </w:rPr>
              <w:t>:</w:t>
            </w:r>
          </w:p>
          <w:p w:rsidR="00CB620A" w:rsidRPr="001A33E8" w:rsidRDefault="0059566B" w:rsidP="00EE0962">
            <w:pPr>
              <w:pStyle w:val="Lijstalinea1"/>
              <w:numPr>
                <w:ilvl w:val="0"/>
                <w:numId w:val="11"/>
              </w:numPr>
              <w:ind w:left="648" w:hanging="23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mobilisation </w:t>
            </w:r>
            <w:r w:rsidR="00923083" w:rsidRPr="001A33E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opérationnelle d’une équipe d’intervention de base en ce compris toutes les décisions opérationnelles se rapportant aux interventions qui ne requièrent pas la présence d’un officier </w:t>
            </w:r>
            <w:r w:rsidR="00B74E91" w:rsidRPr="001A33E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dans les limites des procédures </w:t>
            </w:r>
            <w:r w:rsidR="00EE096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opérationnelles</w:t>
            </w:r>
            <w:r w:rsidR="00CB620A" w:rsidRPr="001A33E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B620A" w:rsidRPr="001A33E8" w:rsidRDefault="008C78F1" w:rsidP="008C78F1">
            <w:pPr>
              <w:pStyle w:val="Lijstalinea1"/>
              <w:numPr>
                <w:ilvl w:val="0"/>
                <w:numId w:val="11"/>
              </w:numPr>
              <w:ind w:left="648" w:hanging="283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</w:t>
            </w:r>
            <w:r w:rsidRPr="008C78F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montée en puissance </w:t>
            </w:r>
            <w:r w:rsidR="0059566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</w:t>
            </w:r>
            <w:r w:rsidR="00B74E91" w:rsidRPr="001A33E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plusieurs équipes d’intervention et la demande d’avoir un officier sur place, dans les limites des procédures </w:t>
            </w:r>
            <w:r w:rsidR="00EE096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opérationnelles</w:t>
            </w:r>
            <w:r w:rsidR="00CB620A" w:rsidRPr="001A33E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B620A" w:rsidRPr="001A33E8" w:rsidRDefault="005300D5" w:rsidP="00EE0962">
            <w:pPr>
              <w:pStyle w:val="Lijstalinea1"/>
              <w:numPr>
                <w:ilvl w:val="0"/>
                <w:numId w:val="11"/>
              </w:numPr>
              <w:ind w:left="648" w:hanging="23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="00B74E91" w:rsidRPr="001A33E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outes les décisions opérationnelles lorsque la sécurité des collaborateurs est menacée et que le supérieur ne peut pas être joint à temps</w:t>
            </w:r>
            <w:r w:rsidR="00CB620A" w:rsidRPr="001A33E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B620A" w:rsidRPr="001A33E8" w:rsidRDefault="005300D5" w:rsidP="00EE0962">
            <w:pPr>
              <w:pStyle w:val="Lijstalinea1"/>
              <w:numPr>
                <w:ilvl w:val="0"/>
                <w:numId w:val="11"/>
              </w:numPr>
              <w:ind w:left="648" w:hanging="237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</w:t>
            </w:r>
            <w:r w:rsidR="00B74E91" w:rsidRPr="001A33E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’exécution concrète des missions dans son domaine de responsabilités, notamment la répartition des tâches, le timing, la manière de travailler, le suivi et l’évaluation</w:t>
            </w:r>
            <w:r w:rsidR="00CB620A" w:rsidRPr="001A33E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B620A" w:rsidRPr="001A33E8" w:rsidRDefault="00CB620A" w:rsidP="00CB620A">
            <w:pPr>
              <w:pStyle w:val="Lijstalinea1"/>
              <w:ind w:left="771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CB620A" w:rsidRPr="001A33E8" w:rsidRDefault="00B74E91" w:rsidP="00CB620A">
            <w:pPr>
              <w:jc w:val="both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1A33E8">
              <w:rPr>
                <w:rFonts w:cs="Arial"/>
                <w:b/>
                <w:bCs/>
                <w:sz w:val="20"/>
                <w:szCs w:val="20"/>
                <w:lang w:val="fr-FR"/>
              </w:rPr>
              <w:t>La fonction doit demander l’autorisation pour</w:t>
            </w:r>
            <w:r w:rsidR="00CB620A" w:rsidRPr="001A33E8">
              <w:rPr>
                <w:rFonts w:cs="Arial"/>
                <w:b/>
                <w:bCs/>
                <w:sz w:val="20"/>
                <w:szCs w:val="20"/>
                <w:lang w:val="fr-FR"/>
              </w:rPr>
              <w:t>:</w:t>
            </w:r>
          </w:p>
          <w:p w:rsidR="00CB620A" w:rsidRPr="001A33E8" w:rsidRDefault="00B74E91" w:rsidP="00CB620A">
            <w:pPr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>Toute dérogation à la solution proposée et aux procédures de travail visant à atteindre un résultat plus rapide ou meilleur</w:t>
            </w:r>
            <w:r w:rsidR="00EE096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si</w:t>
            </w:r>
            <w:r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le supérieur </w:t>
            </w:r>
            <w:r w:rsidR="005300D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peut être joint </w:t>
            </w:r>
            <w:r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>à temps</w:t>
            </w:r>
            <w:r w:rsidR="00CB620A"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B620A" w:rsidRPr="001A33E8" w:rsidRDefault="00B74E91" w:rsidP="00CB620A">
            <w:pPr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Toute décision </w:t>
            </w:r>
            <w:r w:rsidR="005300D5">
              <w:rPr>
                <w:rFonts w:cs="Arial"/>
                <w:color w:val="000000"/>
                <w:sz w:val="20"/>
                <w:szCs w:val="20"/>
                <w:lang w:val="fr-FR"/>
              </w:rPr>
              <w:t>susceptible d’</w:t>
            </w:r>
            <w:r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influencer le fonctionnement d’une autre </w:t>
            </w:r>
            <w:r w:rsidR="005300D5">
              <w:rPr>
                <w:rFonts w:cs="Arial"/>
                <w:color w:val="000000"/>
                <w:sz w:val="20"/>
                <w:szCs w:val="20"/>
                <w:lang w:val="fr-FR"/>
              </w:rPr>
              <w:t>section</w:t>
            </w:r>
            <w:r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ou </w:t>
            </w:r>
            <w:r w:rsidR="005300D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d’un autre </w:t>
            </w:r>
            <w:r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>service</w:t>
            </w:r>
            <w:r w:rsidR="00EE096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du poste</w:t>
            </w:r>
            <w:r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, notamment attribuer des missions à des personnes qui ne </w:t>
            </w:r>
            <w:r w:rsidR="005300D5">
              <w:rPr>
                <w:rFonts w:cs="Arial"/>
                <w:color w:val="000000"/>
                <w:sz w:val="20"/>
                <w:szCs w:val="20"/>
                <w:lang w:val="fr-FR"/>
              </w:rPr>
              <w:t>relèvent</w:t>
            </w:r>
            <w:r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pas spécifiquement </w:t>
            </w:r>
            <w:r w:rsidR="005300D5">
              <w:rPr>
                <w:rFonts w:cs="Arial"/>
                <w:color w:val="000000"/>
                <w:sz w:val="20"/>
                <w:szCs w:val="20"/>
                <w:lang w:val="fr-FR"/>
              </w:rPr>
              <w:t>de sa responsabilité.</w:t>
            </w:r>
          </w:p>
          <w:p w:rsidR="00B74E91" w:rsidRPr="001A33E8" w:rsidRDefault="00B74E91" w:rsidP="00CB620A">
            <w:pPr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1A33E8">
              <w:rPr>
                <w:rFonts w:cs="Arial"/>
                <w:sz w:val="20"/>
                <w:szCs w:val="20"/>
                <w:lang w:val="fr-FR"/>
              </w:rPr>
              <w:t xml:space="preserve">Toute </w:t>
            </w:r>
            <w:r w:rsidR="005300D5">
              <w:rPr>
                <w:rFonts w:cs="Arial"/>
                <w:sz w:val="20"/>
                <w:szCs w:val="20"/>
                <w:lang w:val="fr-FR"/>
              </w:rPr>
              <w:t>activité</w:t>
            </w:r>
            <w:r w:rsidRPr="001A33E8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5300D5">
              <w:rPr>
                <w:rFonts w:cs="Arial"/>
                <w:sz w:val="20"/>
                <w:szCs w:val="20"/>
                <w:lang w:val="fr-FR"/>
              </w:rPr>
              <w:t>susceptible d’influencer</w:t>
            </w:r>
            <w:r w:rsidRPr="001A33E8">
              <w:rPr>
                <w:rFonts w:cs="Arial"/>
                <w:sz w:val="20"/>
                <w:szCs w:val="20"/>
                <w:lang w:val="fr-FR"/>
              </w:rPr>
              <w:t xml:space="preserve"> l’opérationnalité du service</w:t>
            </w:r>
            <w:r w:rsidR="005300D5">
              <w:rPr>
                <w:rFonts w:cs="Arial"/>
                <w:sz w:val="20"/>
                <w:szCs w:val="20"/>
                <w:lang w:val="fr-FR"/>
              </w:rPr>
              <w:t>,</w:t>
            </w:r>
            <w:r w:rsidRPr="001A33E8">
              <w:rPr>
                <w:rFonts w:cs="Arial"/>
                <w:sz w:val="20"/>
                <w:szCs w:val="20"/>
                <w:lang w:val="fr-FR"/>
              </w:rPr>
              <w:t xml:space="preserve"> sans que des règles spécifiques </w:t>
            </w:r>
            <w:r w:rsidR="005300D5">
              <w:rPr>
                <w:rFonts w:cs="Arial"/>
                <w:sz w:val="20"/>
                <w:szCs w:val="20"/>
                <w:lang w:val="fr-FR"/>
              </w:rPr>
              <w:t>n’aient</w:t>
            </w:r>
            <w:r w:rsidRPr="001A33E8">
              <w:rPr>
                <w:rFonts w:cs="Arial"/>
                <w:sz w:val="20"/>
                <w:szCs w:val="20"/>
                <w:lang w:val="fr-FR"/>
              </w:rPr>
              <w:t xml:space="preserve"> été </w:t>
            </w:r>
            <w:r w:rsidR="005300D5">
              <w:rPr>
                <w:rFonts w:cs="Arial"/>
                <w:sz w:val="20"/>
                <w:szCs w:val="20"/>
                <w:lang w:val="fr-FR"/>
              </w:rPr>
              <w:t>convenues</w:t>
            </w:r>
            <w:r w:rsidRPr="001A33E8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5300D5">
              <w:rPr>
                <w:rFonts w:cs="Arial"/>
                <w:sz w:val="20"/>
                <w:szCs w:val="20"/>
                <w:lang w:val="fr-FR"/>
              </w:rPr>
              <w:t>pour la</w:t>
            </w:r>
            <w:r w:rsidRPr="001A33E8">
              <w:rPr>
                <w:rFonts w:cs="Arial"/>
                <w:sz w:val="20"/>
                <w:szCs w:val="20"/>
                <w:lang w:val="fr-FR"/>
              </w:rPr>
              <w:t xml:space="preserve"> garantie de l’opérationnalité au cours de cette </w:t>
            </w:r>
            <w:r w:rsidR="005300D5">
              <w:rPr>
                <w:rFonts w:cs="Arial"/>
                <w:sz w:val="20"/>
                <w:szCs w:val="20"/>
                <w:lang w:val="fr-FR"/>
              </w:rPr>
              <w:t>activité</w:t>
            </w:r>
            <w:r w:rsidRPr="001A33E8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CB620A" w:rsidRPr="001A33E8" w:rsidRDefault="00B74E91" w:rsidP="00CB620A">
            <w:pPr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1A33E8">
              <w:rPr>
                <w:rFonts w:cs="Arial"/>
                <w:sz w:val="20"/>
                <w:szCs w:val="20"/>
                <w:lang w:val="fr-FR"/>
              </w:rPr>
              <w:t>Sur le plan administratif</w:t>
            </w:r>
            <w:r w:rsidR="005300D5">
              <w:rPr>
                <w:rFonts w:cs="Arial"/>
                <w:sz w:val="20"/>
                <w:szCs w:val="20"/>
                <w:lang w:val="fr-FR"/>
              </w:rPr>
              <w:t> </w:t>
            </w:r>
            <w:r w:rsidR="00CB620A"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: </w:t>
            </w:r>
            <w:r w:rsidR="005300D5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des décisions allant au-delà de </w:t>
            </w:r>
            <w:r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la simple gestion </w:t>
            </w:r>
            <w:r w:rsidR="00CB620A"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>(</w:t>
            </w:r>
            <w:r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tâches de </w:t>
            </w:r>
            <w:r w:rsidR="00CB620A"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>management)</w:t>
            </w:r>
            <w:r w:rsidR="003F1E1F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B620A" w:rsidRPr="001A33E8" w:rsidRDefault="005300D5" w:rsidP="00CB620A">
            <w:pPr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La</w:t>
            </w:r>
            <w:r w:rsidR="00B74E91"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communication externe </w:t>
            </w:r>
            <w:r w:rsidR="000C0D8A">
              <w:rPr>
                <w:rFonts w:cs="Arial"/>
                <w:color w:val="000000"/>
                <w:sz w:val="20"/>
                <w:szCs w:val="20"/>
                <w:lang w:val="fr-FR"/>
              </w:rPr>
              <w:t>relative</w:t>
            </w:r>
            <w:r w:rsidR="00B74E91"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à la gestion quotidienne d’un service </w:t>
            </w:r>
            <w:r w:rsidR="00EE0962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du poste </w:t>
            </w:r>
            <w:r w:rsidR="00B74E91"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sous sa responsabilité et </w:t>
            </w:r>
            <w:r w:rsidR="00F8301D" w:rsidRPr="002F6E73">
              <w:rPr>
                <w:rFonts w:cs="Arial"/>
                <w:color w:val="000000"/>
                <w:sz w:val="20"/>
                <w:szCs w:val="20"/>
                <w:lang w:val="fr-FR"/>
              </w:rPr>
              <w:t>relative</w:t>
            </w:r>
            <w:r w:rsidR="00F8301D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B74E91"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>aux données concrètes de l’intervention</w:t>
            </w:r>
            <w:r w:rsidR="00CB620A"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(</w:t>
            </w:r>
            <w:r w:rsidR="000C0D8A">
              <w:rPr>
                <w:rFonts w:cs="Arial"/>
                <w:color w:val="000000"/>
                <w:sz w:val="20"/>
                <w:szCs w:val="20"/>
                <w:lang w:val="fr-FR"/>
              </w:rPr>
              <w:t>constatations</w:t>
            </w:r>
            <w:r w:rsidR="00CB620A"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, </w:t>
            </w:r>
            <w:r w:rsidR="000C0D8A">
              <w:rPr>
                <w:rFonts w:cs="Arial"/>
                <w:color w:val="000000"/>
                <w:sz w:val="20"/>
                <w:szCs w:val="20"/>
                <w:lang w:val="fr-FR"/>
              </w:rPr>
              <w:t>activités du service d’incendie passées et à venir</w:t>
            </w:r>
            <w:r w:rsidR="00CB620A" w:rsidRPr="001A33E8">
              <w:rPr>
                <w:rFonts w:cs="Arial"/>
                <w:color w:val="000000"/>
                <w:sz w:val="20"/>
                <w:szCs w:val="20"/>
                <w:lang w:val="fr-FR"/>
              </w:rPr>
              <w:t>, …)</w:t>
            </w:r>
            <w:r w:rsidR="003F1E1F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CB620A" w:rsidRDefault="00CB620A" w:rsidP="00CB620A">
            <w:pPr>
              <w:rPr>
                <w:sz w:val="20"/>
                <w:szCs w:val="20"/>
                <w:lang w:val="fr-FR"/>
              </w:rPr>
            </w:pPr>
          </w:p>
          <w:p w:rsidR="00794D0F" w:rsidRDefault="00794D0F" w:rsidP="00CB620A">
            <w:pPr>
              <w:rPr>
                <w:sz w:val="20"/>
                <w:szCs w:val="20"/>
                <w:lang w:val="fr-FR"/>
              </w:rPr>
            </w:pPr>
          </w:p>
          <w:p w:rsidR="00794D0F" w:rsidRDefault="00794D0F" w:rsidP="00CB620A">
            <w:pPr>
              <w:rPr>
                <w:sz w:val="20"/>
                <w:szCs w:val="20"/>
                <w:lang w:val="fr-FR"/>
              </w:rPr>
            </w:pPr>
          </w:p>
          <w:p w:rsidR="00794D0F" w:rsidRDefault="00794D0F" w:rsidP="00CB620A">
            <w:pPr>
              <w:rPr>
                <w:sz w:val="20"/>
                <w:szCs w:val="20"/>
                <w:lang w:val="fr-FR"/>
              </w:rPr>
            </w:pPr>
          </w:p>
          <w:p w:rsidR="00794D0F" w:rsidRPr="001A33E8" w:rsidRDefault="00794D0F" w:rsidP="00CB620A">
            <w:pPr>
              <w:rPr>
                <w:sz w:val="20"/>
                <w:szCs w:val="20"/>
                <w:lang w:val="fr-FR"/>
              </w:rPr>
            </w:pPr>
          </w:p>
        </w:tc>
      </w:tr>
      <w:tr w:rsidR="00CB620A" w:rsidRPr="00C33D3E" w:rsidTr="00EE0962">
        <w:tc>
          <w:tcPr>
            <w:tcW w:w="2754" w:type="dxa"/>
            <w:vMerge w:val="restart"/>
            <w:shd w:val="clear" w:color="auto" w:fill="auto"/>
          </w:tcPr>
          <w:p w:rsidR="00CB620A" w:rsidRPr="001A33E8" w:rsidRDefault="00804BEE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Cadre et conditions de travail</w:t>
            </w:r>
          </w:p>
        </w:tc>
        <w:tc>
          <w:tcPr>
            <w:tcW w:w="1662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Place dans l’organigramme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CB620A" w:rsidRDefault="00CB620A" w:rsidP="000C0D8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 xml:space="preserve">La fonction d’adjudant est une fonction de promotion au </w:t>
            </w:r>
            <w:r w:rsidR="000C0D8A">
              <w:rPr>
                <w:sz w:val="20"/>
                <w:szCs w:val="20"/>
                <w:lang w:val="fr-FR"/>
              </w:rPr>
              <w:t>niveau</w:t>
            </w:r>
            <w:r w:rsidRPr="001A33E8">
              <w:rPr>
                <w:sz w:val="20"/>
                <w:szCs w:val="20"/>
                <w:lang w:val="fr-FR"/>
              </w:rPr>
              <w:t xml:space="preserve"> d</w:t>
            </w:r>
            <w:r w:rsidR="000C0D8A">
              <w:rPr>
                <w:sz w:val="20"/>
                <w:szCs w:val="20"/>
                <w:lang w:val="fr-FR"/>
              </w:rPr>
              <w:t xml:space="preserve">u cadre moyen. </w:t>
            </w:r>
            <w:r w:rsidRPr="001A33E8">
              <w:rPr>
                <w:sz w:val="20"/>
                <w:szCs w:val="20"/>
                <w:lang w:val="fr-FR"/>
              </w:rPr>
              <w:t>Il officie en tant que dirigeant dans le cadre de l’organisation d’une équipe d’incendie et assume en outre certaine</w:t>
            </w:r>
            <w:r w:rsidR="000C0D8A">
              <w:rPr>
                <w:sz w:val="20"/>
                <w:szCs w:val="20"/>
                <w:lang w:val="fr-FR"/>
              </w:rPr>
              <w:t>s</w:t>
            </w:r>
            <w:r w:rsidRPr="001A33E8">
              <w:rPr>
                <w:sz w:val="20"/>
                <w:szCs w:val="20"/>
                <w:lang w:val="fr-FR"/>
              </w:rPr>
              <w:t xml:space="preserve"> tâches de gestion.</w:t>
            </w:r>
          </w:p>
          <w:p w:rsidR="00EE0962" w:rsidRPr="001A33E8" w:rsidRDefault="00EE0962" w:rsidP="000C0D8A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CB620A" w:rsidRPr="002339AD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Caractéristiques spécifiques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EE0962" w:rsidRPr="002B08A1" w:rsidRDefault="00EE0962" w:rsidP="002339AD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B08A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Prestations de temps de travail irrégulier</w:t>
            </w:r>
            <w:r w:rsidR="00337E7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</w:p>
          <w:p w:rsidR="00EE0962" w:rsidRPr="002B08A1" w:rsidRDefault="00EE0962" w:rsidP="002339AD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B08A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Travail le samedi, dimanche, les jours fériés et la nuit</w:t>
            </w:r>
          </w:p>
          <w:p w:rsidR="00EE0962" w:rsidRPr="002B08A1" w:rsidRDefault="00EE0962" w:rsidP="002339AD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B08A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</w:t>
            </w:r>
            <w:r w:rsidRPr="002B08A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appels sont possibles</w:t>
            </w:r>
          </w:p>
          <w:p w:rsidR="00EE0962" w:rsidRPr="00EE1D96" w:rsidRDefault="00EE0962" w:rsidP="002339AD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B08A1">
              <w:rPr>
                <w:rFonts w:ascii="Arial" w:hAnsi="Arial" w:cs="Arial"/>
                <w:sz w:val="20"/>
                <w:szCs w:val="20"/>
                <w:lang w:val="fr-FR"/>
              </w:rPr>
              <w:t>Charges physiques et lourdes possibles</w:t>
            </w:r>
          </w:p>
          <w:p w:rsidR="002339AD" w:rsidRPr="00794D0F" w:rsidRDefault="002339AD" w:rsidP="002339AD">
            <w:pPr>
              <w:pStyle w:val="Lijstalinea"/>
              <w:numPr>
                <w:ilvl w:val="0"/>
                <w:numId w:val="17"/>
              </w:numPr>
              <w:rPr>
                <w:color w:val="000000"/>
                <w:sz w:val="20"/>
                <w:szCs w:val="20"/>
                <w:lang w:val="fr-FR"/>
              </w:rPr>
            </w:pPr>
            <w:r w:rsidRPr="00794D0F">
              <w:rPr>
                <w:rFonts w:ascii="Arial" w:hAnsi="Arial" w:cs="Arial"/>
                <w:sz w:val="20"/>
                <w:szCs w:val="20"/>
                <w:lang w:val="fr-FR"/>
              </w:rPr>
              <w:t xml:space="preserve">Charge psychologique possible </w:t>
            </w:r>
          </w:p>
          <w:p w:rsidR="00CB620A" w:rsidRPr="001A33E8" w:rsidRDefault="00CB620A" w:rsidP="000C0D8A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CB620A" w:rsidRPr="001A33E8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Niveau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CB620A" w:rsidRDefault="00EE0962" w:rsidP="00CB620A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/</w:t>
            </w:r>
          </w:p>
          <w:p w:rsidR="00EE0962" w:rsidRDefault="00EE0962" w:rsidP="00CB620A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794D0F" w:rsidRPr="001A33E8" w:rsidRDefault="00794D0F" w:rsidP="00CB620A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CB620A" w:rsidRPr="00C33D3E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Conditions de promotion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CB620A" w:rsidRPr="001A33E8" w:rsidRDefault="00CB620A" w:rsidP="00CB620A">
            <w:pPr>
              <w:rPr>
                <w:rFonts w:cs="Arial"/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Cf. statut administratif et pécuniaire</w:t>
            </w:r>
          </w:p>
        </w:tc>
      </w:tr>
      <w:tr w:rsidR="00CB620A" w:rsidRPr="001A33E8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  <w:shd w:val="clear" w:color="auto" w:fill="auto"/>
          </w:tcPr>
          <w:p w:rsidR="00CB620A" w:rsidRPr="001A33E8" w:rsidRDefault="00804BEE" w:rsidP="00CB620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d’intégration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CB620A" w:rsidRPr="001A33E8" w:rsidRDefault="00CB620A" w:rsidP="00CB620A">
            <w:pPr>
              <w:rPr>
                <w:rFonts w:cs="Arial"/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6 mois</w:t>
            </w:r>
          </w:p>
        </w:tc>
      </w:tr>
      <w:tr w:rsidR="00CB620A" w:rsidRPr="00C33D3E" w:rsidTr="00EE0962">
        <w:tc>
          <w:tcPr>
            <w:tcW w:w="2754" w:type="dxa"/>
            <w:vMerge/>
            <w:shd w:val="clear" w:color="auto" w:fill="auto"/>
          </w:tcPr>
          <w:p w:rsidR="00CB620A" w:rsidRPr="001A33E8" w:rsidRDefault="00CB620A" w:rsidP="00CB620A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1662" w:type="dxa"/>
            <w:shd w:val="clear" w:color="auto" w:fill="auto"/>
          </w:tcPr>
          <w:p w:rsidR="00CB620A" w:rsidRPr="001A33E8" w:rsidRDefault="00CB620A" w:rsidP="00CB620A">
            <w:pPr>
              <w:rPr>
                <w:sz w:val="20"/>
                <w:szCs w:val="20"/>
                <w:lang w:val="fr-FR"/>
              </w:rPr>
            </w:pPr>
            <w:r w:rsidRPr="001A33E8">
              <w:rPr>
                <w:sz w:val="20"/>
                <w:szCs w:val="20"/>
                <w:lang w:val="fr-FR"/>
              </w:rPr>
              <w:t>Diplôme</w:t>
            </w:r>
          </w:p>
        </w:tc>
        <w:tc>
          <w:tcPr>
            <w:tcW w:w="4866" w:type="dxa"/>
            <w:gridSpan w:val="3"/>
            <w:shd w:val="clear" w:color="auto" w:fill="auto"/>
          </w:tcPr>
          <w:p w:rsidR="00CB620A" w:rsidRDefault="00F8301D" w:rsidP="00CB620A">
            <w:pPr>
              <w:rPr>
                <w:sz w:val="20"/>
                <w:szCs w:val="20"/>
                <w:lang w:val="fr-FR"/>
              </w:rPr>
            </w:pPr>
            <w:r w:rsidRPr="002F6E73">
              <w:rPr>
                <w:sz w:val="20"/>
                <w:szCs w:val="20"/>
                <w:lang w:val="fr-FR"/>
              </w:rPr>
              <w:t xml:space="preserve">Nécessité </w:t>
            </w:r>
            <w:r w:rsidR="0085189B" w:rsidRPr="002F6E73">
              <w:rPr>
                <w:sz w:val="20"/>
                <w:szCs w:val="20"/>
                <w:lang w:val="fr-FR"/>
              </w:rPr>
              <w:t>de disposer du</w:t>
            </w:r>
            <w:r w:rsidR="00CB620A" w:rsidRPr="002F6E73">
              <w:rPr>
                <w:sz w:val="20"/>
                <w:szCs w:val="20"/>
                <w:lang w:val="fr-FR"/>
              </w:rPr>
              <w:t xml:space="preserve"> brevet M02</w:t>
            </w:r>
          </w:p>
          <w:p w:rsidR="00EE0962" w:rsidRPr="001A33E8" w:rsidRDefault="00EE0962" w:rsidP="00CB620A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D00667" w:rsidRDefault="00D00667">
      <w:pPr>
        <w:rPr>
          <w:lang w:val="fr-FR"/>
        </w:rPr>
      </w:pPr>
    </w:p>
    <w:p w:rsidR="00794D0F" w:rsidRPr="001A33E8" w:rsidRDefault="00794D0F">
      <w:pPr>
        <w:rPr>
          <w:lang w:val="fr-FR"/>
        </w:rPr>
      </w:pPr>
    </w:p>
    <w:p w:rsidR="00EE0962" w:rsidRPr="007335DC" w:rsidRDefault="00EE0962" w:rsidP="00EE096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:rsidR="00EE0962" w:rsidRPr="007335DC" w:rsidRDefault="00EE0962" w:rsidP="00EE096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E0962" w:rsidRPr="007335DC" w:rsidRDefault="00EE0962" w:rsidP="00EE096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E0962" w:rsidRPr="007335DC" w:rsidRDefault="00EE0962" w:rsidP="00EE096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E0962" w:rsidRPr="007335DC" w:rsidRDefault="00EE0962" w:rsidP="00EE096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E0962" w:rsidRPr="007335DC" w:rsidRDefault="00EE0962" w:rsidP="00EE096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E0962" w:rsidRPr="007335DC" w:rsidRDefault="00EE0962" w:rsidP="00EE0962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EE0962" w:rsidRPr="007335DC" w:rsidRDefault="00EE0962" w:rsidP="00EE0962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:rsidR="00AB629D" w:rsidRPr="001A33E8" w:rsidRDefault="00EE0962" w:rsidP="00EE0962">
      <w:pPr>
        <w:tabs>
          <w:tab w:val="left" w:pos="284"/>
          <w:tab w:val="left" w:pos="567"/>
        </w:tabs>
        <w:ind w:right="-9"/>
        <w:jc w:val="center"/>
        <w:rPr>
          <w:rFonts w:cs="Arial"/>
          <w:lang w:val="fr-FR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sectPr w:rsidR="00AB629D" w:rsidRPr="001A33E8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FA" w:rsidRDefault="005A3FFA" w:rsidP="008F4853">
      <w:r>
        <w:separator/>
      </w:r>
    </w:p>
  </w:endnote>
  <w:endnote w:type="continuationSeparator" w:id="0">
    <w:p w:rsidR="005A3FFA" w:rsidRDefault="005A3FFA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FA" w:rsidRDefault="005A3FFA" w:rsidP="008F4853">
      <w:r>
        <w:separator/>
      </w:r>
    </w:p>
  </w:footnote>
  <w:footnote w:type="continuationSeparator" w:id="0">
    <w:p w:rsidR="005A3FFA" w:rsidRDefault="005A3FFA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DA2"/>
    <w:multiLevelType w:val="hybridMultilevel"/>
    <w:tmpl w:val="ACAA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90C05"/>
    <w:multiLevelType w:val="hybridMultilevel"/>
    <w:tmpl w:val="B9DCDC8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5752C"/>
    <w:multiLevelType w:val="hybridMultilevel"/>
    <w:tmpl w:val="C336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E28AC"/>
    <w:multiLevelType w:val="hybridMultilevel"/>
    <w:tmpl w:val="1FA6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1291E"/>
    <w:multiLevelType w:val="hybridMultilevel"/>
    <w:tmpl w:val="12FCD5EC"/>
    <w:lvl w:ilvl="0" w:tplc="36166D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1F2DB5"/>
    <w:multiLevelType w:val="hybridMultilevel"/>
    <w:tmpl w:val="A984A44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76482"/>
    <w:multiLevelType w:val="hybridMultilevel"/>
    <w:tmpl w:val="141857F6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C31A5"/>
    <w:multiLevelType w:val="hybridMultilevel"/>
    <w:tmpl w:val="ED684A0A"/>
    <w:lvl w:ilvl="0" w:tplc="E370C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7244B"/>
    <w:multiLevelType w:val="hybridMultilevel"/>
    <w:tmpl w:val="204EB092"/>
    <w:lvl w:ilvl="0" w:tplc="5F1E9548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C6109"/>
    <w:multiLevelType w:val="hybridMultilevel"/>
    <w:tmpl w:val="D9A0473A"/>
    <w:lvl w:ilvl="0" w:tplc="36166D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B70AE"/>
    <w:multiLevelType w:val="hybridMultilevel"/>
    <w:tmpl w:val="3018924E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9E5E7C"/>
    <w:multiLevelType w:val="hybridMultilevel"/>
    <w:tmpl w:val="12327372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2"/>
  </w:num>
  <w:num w:numId="18">
    <w:abstractNumId w:val="0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B2F1C"/>
    <w:rsid w:val="000C0D8A"/>
    <w:rsid w:val="000D2463"/>
    <w:rsid w:val="00103787"/>
    <w:rsid w:val="00125A9A"/>
    <w:rsid w:val="001A33E8"/>
    <w:rsid w:val="001C30F7"/>
    <w:rsid w:val="001C61CC"/>
    <w:rsid w:val="001F4078"/>
    <w:rsid w:val="00217A87"/>
    <w:rsid w:val="002339AD"/>
    <w:rsid w:val="002778AB"/>
    <w:rsid w:val="002A09F2"/>
    <w:rsid w:val="002A1481"/>
    <w:rsid w:val="002A4B21"/>
    <w:rsid w:val="002D634F"/>
    <w:rsid w:val="002D6C37"/>
    <w:rsid w:val="002F6E73"/>
    <w:rsid w:val="002F7A40"/>
    <w:rsid w:val="003153B4"/>
    <w:rsid w:val="00337E78"/>
    <w:rsid w:val="0034231B"/>
    <w:rsid w:val="003A448D"/>
    <w:rsid w:val="003D572F"/>
    <w:rsid w:val="003F1E1F"/>
    <w:rsid w:val="003F5436"/>
    <w:rsid w:val="0044093E"/>
    <w:rsid w:val="00440995"/>
    <w:rsid w:val="004423A1"/>
    <w:rsid w:val="0045472A"/>
    <w:rsid w:val="004B7882"/>
    <w:rsid w:val="004D7A20"/>
    <w:rsid w:val="004E6E7D"/>
    <w:rsid w:val="00514024"/>
    <w:rsid w:val="005300D5"/>
    <w:rsid w:val="005740F5"/>
    <w:rsid w:val="0059566B"/>
    <w:rsid w:val="005A153D"/>
    <w:rsid w:val="005A3FFA"/>
    <w:rsid w:val="005F070B"/>
    <w:rsid w:val="0060580B"/>
    <w:rsid w:val="007357B6"/>
    <w:rsid w:val="00744AF4"/>
    <w:rsid w:val="00791761"/>
    <w:rsid w:val="00794D0F"/>
    <w:rsid w:val="007D4074"/>
    <w:rsid w:val="007E2F6A"/>
    <w:rsid w:val="007F16E8"/>
    <w:rsid w:val="00804BEE"/>
    <w:rsid w:val="00807FFC"/>
    <w:rsid w:val="00841957"/>
    <w:rsid w:val="0085189B"/>
    <w:rsid w:val="00892902"/>
    <w:rsid w:val="00897066"/>
    <w:rsid w:val="008C78F1"/>
    <w:rsid w:val="008D1CCF"/>
    <w:rsid w:val="008F4853"/>
    <w:rsid w:val="0090005B"/>
    <w:rsid w:val="00923083"/>
    <w:rsid w:val="0095434D"/>
    <w:rsid w:val="00955501"/>
    <w:rsid w:val="009A0481"/>
    <w:rsid w:val="009A7018"/>
    <w:rsid w:val="00A17FD9"/>
    <w:rsid w:val="00A67732"/>
    <w:rsid w:val="00A978F6"/>
    <w:rsid w:val="00AA3044"/>
    <w:rsid w:val="00AB629D"/>
    <w:rsid w:val="00AC3A85"/>
    <w:rsid w:val="00AE4116"/>
    <w:rsid w:val="00B74E91"/>
    <w:rsid w:val="00B96C68"/>
    <w:rsid w:val="00BD72ED"/>
    <w:rsid w:val="00C1200D"/>
    <w:rsid w:val="00C33D3E"/>
    <w:rsid w:val="00C45D80"/>
    <w:rsid w:val="00C664FF"/>
    <w:rsid w:val="00C9337E"/>
    <w:rsid w:val="00CB620A"/>
    <w:rsid w:val="00CB6F70"/>
    <w:rsid w:val="00CE06FF"/>
    <w:rsid w:val="00CE3E2D"/>
    <w:rsid w:val="00CE5DB5"/>
    <w:rsid w:val="00D00667"/>
    <w:rsid w:val="00D1108B"/>
    <w:rsid w:val="00D4095E"/>
    <w:rsid w:val="00D47653"/>
    <w:rsid w:val="00D67155"/>
    <w:rsid w:val="00D74965"/>
    <w:rsid w:val="00DA0D49"/>
    <w:rsid w:val="00DA755E"/>
    <w:rsid w:val="00DB1C69"/>
    <w:rsid w:val="00DC4108"/>
    <w:rsid w:val="00DC7672"/>
    <w:rsid w:val="00E10C52"/>
    <w:rsid w:val="00E235CE"/>
    <w:rsid w:val="00E33AD0"/>
    <w:rsid w:val="00E86B0F"/>
    <w:rsid w:val="00EC794E"/>
    <w:rsid w:val="00EE0962"/>
    <w:rsid w:val="00F00F30"/>
    <w:rsid w:val="00F12EAD"/>
    <w:rsid w:val="00F8301D"/>
    <w:rsid w:val="00F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uiPriority w:val="34"/>
    <w:qFormat/>
    <w:rsid w:val="009A0481"/>
    <w:pPr>
      <w:ind w:left="720"/>
      <w:contextualSpacing/>
    </w:pPr>
    <w:rPr>
      <w:rFonts w:ascii="Cambria" w:eastAsia="Cambria" w:hAnsi="Cambria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  <w:rPr>
      <w:sz w:val="20"/>
      <w:szCs w:val="20"/>
      <w:lang w:eastAsia="x-none"/>
    </w:rPr>
  </w:style>
  <w:style w:type="character" w:customStyle="1" w:styleId="VoetnoottekstChar">
    <w:name w:val="Voetnoottekst Char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KoptekstChar">
    <w:name w:val="Koptekst Char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VoettekstChar">
    <w:name w:val="Voettekst Char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semiHidden/>
    <w:rsid w:val="003A448D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3A448D"/>
    <w:rPr>
      <w:sz w:val="16"/>
      <w:szCs w:val="16"/>
    </w:rPr>
  </w:style>
  <w:style w:type="paragraph" w:styleId="Tekstopmerking">
    <w:name w:val="annotation text"/>
    <w:basedOn w:val="Standaard"/>
    <w:semiHidden/>
    <w:rsid w:val="003A448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A448D"/>
    <w:rPr>
      <w:b/>
      <w:bCs/>
    </w:rPr>
  </w:style>
  <w:style w:type="paragraph" w:styleId="Lijstalinea">
    <w:name w:val="List Paragraph"/>
    <w:basedOn w:val="Standaard"/>
    <w:uiPriority w:val="34"/>
    <w:qFormat/>
    <w:rsid w:val="00EE0962"/>
    <w:pPr>
      <w:ind w:left="720"/>
      <w:contextualSpacing/>
    </w:pPr>
    <w:rPr>
      <w:rFonts w:ascii="Cambria" w:eastAsia="Cambria" w:hAnsi="Cambria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uiPriority w:val="34"/>
    <w:qFormat/>
    <w:rsid w:val="009A0481"/>
    <w:pPr>
      <w:ind w:left="720"/>
      <w:contextualSpacing/>
    </w:pPr>
    <w:rPr>
      <w:rFonts w:ascii="Cambria" w:eastAsia="Cambria" w:hAnsi="Cambria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  <w:rPr>
      <w:sz w:val="20"/>
      <w:szCs w:val="20"/>
      <w:lang w:eastAsia="x-none"/>
    </w:rPr>
  </w:style>
  <w:style w:type="character" w:customStyle="1" w:styleId="VoetnoottekstChar">
    <w:name w:val="Voetnoottekst Char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KoptekstChar">
    <w:name w:val="Koptekst Char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VoettekstChar">
    <w:name w:val="Voettekst Char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semiHidden/>
    <w:rsid w:val="003A448D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3A448D"/>
    <w:rPr>
      <w:sz w:val="16"/>
      <w:szCs w:val="16"/>
    </w:rPr>
  </w:style>
  <w:style w:type="paragraph" w:styleId="Tekstopmerking">
    <w:name w:val="annotation text"/>
    <w:basedOn w:val="Standaard"/>
    <w:semiHidden/>
    <w:rsid w:val="003A448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A448D"/>
    <w:rPr>
      <w:b/>
      <w:bCs/>
    </w:rPr>
  </w:style>
  <w:style w:type="paragraph" w:styleId="Lijstalinea">
    <w:name w:val="List Paragraph"/>
    <w:basedOn w:val="Standaard"/>
    <w:uiPriority w:val="34"/>
    <w:qFormat/>
    <w:rsid w:val="00EE0962"/>
    <w:pPr>
      <w:ind w:left="720"/>
      <w:contextualSpacing/>
    </w:pPr>
    <w:rPr>
      <w:rFonts w:ascii="Cambria" w:eastAsia="Cambria" w:hAnsi="Cambri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urdoc" ma:contentTypeID="0x010100AF8FFE35AADB574A956AB2FBEF841F1600892F220FD5D600469C422D4B3D19A145" ma:contentTypeVersion="10" ma:contentTypeDescription="" ma:contentTypeScope="" ma:versionID="cbf190cec4983decf0c70b6f826b1d3c">
  <xsd:schema xmlns:xsd="http://www.w3.org/2001/XMLSchema" xmlns:xs="http://www.w3.org/2001/XMLSchema" xmlns:p="http://schemas.microsoft.com/office/2006/metadata/properties" xmlns:ns1="http://schemas.microsoft.com/sharepoint/v3" xmlns:ns2="d6e05fb4-4ff7-45e7-9d0d-b9f3e278ffe2" targetNamespace="http://schemas.microsoft.com/office/2006/metadata/properties" ma:root="true" ma:fieldsID="49fcaea13e010105e4c85ee3422873c9" ns1:_="" ns2:_="">
    <xsd:import namespace="http://schemas.microsoft.com/sharepoint/v3"/>
    <xsd:import namespace="d6e05fb4-4ff7-45e7-9d0d-b9f3e278ffe2"/>
    <xsd:element name="properties">
      <xsd:complexType>
        <xsd:sequence>
          <xsd:element name="documentManagement">
            <xsd:complexType>
              <xsd:all>
                <xsd:element ref="ns2:Catégorie" minOccurs="0"/>
                <xsd:element ref="ns2:Collaborateur" minOccurs="0"/>
                <xsd:element ref="ns2:sous-classe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5fb4-4ff7-45e7-9d0d-b9f3e278ffe2" elementFormDefault="qualified">
    <xsd:import namespace="http://schemas.microsoft.com/office/2006/documentManagement/types"/>
    <xsd:import namespace="http://schemas.microsoft.com/office/infopath/2007/PartnerControls"/>
    <xsd:element name="Catégorie" ma:index="8" nillable="true" ma:displayName="Catégorie - Categorie" ma:description="classification documents service juridique SC" ma:format="RadioButtons" ma:internalName="Cat_x00e9_gorie">
      <xsd:simpleType>
        <xsd:restriction base="dms:Choice">
          <xsd:enumeration value="Inspection - Inspectie"/>
          <xsd:enumeration value="Tutelle - Toezicht"/>
          <xsd:enumeration value="Avis juridique - Juridisch advies"/>
          <xsd:enumeration value="Projet réglementaire - Ontwerptekst"/>
          <xsd:enumeration value="Contentieux - Geschillen"/>
          <xsd:enumeration value="Question parlemenaire - Parlementaire Vraag"/>
          <xsd:enumeration value="Réforme - Hervorming"/>
        </xsd:restriction>
      </xsd:simpleType>
    </xsd:element>
    <xsd:element name="Collaborateur" ma:index="9" nillable="true" ma:displayName="Collaborateur - Dossierbehandelaar" ma:description="collaborateur en charge du dossier&#10;Dossierbehandelaar" ma:format="Dropdown" ma:internalName="Collaborateur">
      <xsd:simpleType>
        <xsd:restriction base="dms:Choice">
          <xsd:enumeration value="Bouckaert Joris"/>
          <xsd:enumeration value="Brisaert Ivo"/>
          <xsd:enumeration value="Callaerts Jurgen"/>
          <xsd:enumeration value="Claeys Mie-Katrien"/>
          <xsd:enumeration value="Coucke Sophie"/>
          <xsd:enumeration value="De schryver Sophie"/>
          <xsd:enumeration value="Heylen Peggy"/>
          <xsd:enumeration value="Heylenbosch Marc"/>
          <xsd:enumeration value="Lobet Sophie"/>
          <xsd:enumeration value="Simon Philippe"/>
          <xsd:enumeration value="Sran Vran"/>
          <xsd:enumeration value="Strobbe Eveline"/>
          <xsd:enumeration value="Trasschaert Heidi"/>
          <xsd:enumeration value="Turlot Vincent"/>
          <xsd:enumeration value="Wailliez Hugues"/>
          <xsd:enumeration value="Robiette Isabelle"/>
          <xsd:enumeration value="Tiels Jeannine"/>
        </xsd:restriction>
      </xsd:simpleType>
    </xsd:element>
    <xsd:element name="sous-classement" ma:index="10" nillable="true" ma:displayName="sous-classement" ma:description="Commune - Gemeente" ma:format="Dropdown" ma:internalName="sous_x002d_classement">
      <xsd:simpleType>
        <xsd:union memberTypes="dms:Text">
          <xsd:simpleType>
            <xsd:restriction base="dms:Choice">
              <xsd:enumeration value="Aalst"/>
              <xsd:enumeration value="Aalter"/>
              <xsd:enumeration value="Aarschot"/>
              <xsd:enumeration value="Amblève"/>
              <xsd:enumeration value="Andenne"/>
              <xsd:enumeration value="Antoing"/>
              <xsd:enumeration value="Antwerpen"/>
              <xsd:enumeration value="Anzegem"/>
              <xsd:enumeration value="Ardooie"/>
              <xsd:enumeration value="Arendonk"/>
              <xsd:enumeration value="Arlon"/>
              <xsd:enumeration value="Asse"/>
              <xsd:enumeration value="Assenede"/>
              <xsd:enumeration value="Ath"/>
              <xsd:enumeration value="Aubange"/>
              <xsd:enumeration value="Avelgem"/>
              <xsd:enumeration value="Aywaille"/>
              <xsd:enumeration value="Baarle-Hertog"/>
              <xsd:enumeration value="Balen"/>
              <xsd:enumeration value="Bastogne"/>
              <xsd:enumeration value="Beaumont"/>
              <xsd:enumeration value="Beauraing"/>
              <xsd:enumeration value="Beerse"/>
              <xsd:enumeration value="Beloeil"/>
              <xsd:enumeration value="Beringen"/>
              <xsd:enumeration value="Berlaar"/>
              <xsd:enumeration value="Berlare"/>
              <xsd:enumeration value="Bernissart"/>
              <xsd:enumeration value="Bertrix"/>
              <xsd:enumeration value="Beveren"/>
              <xsd:enumeration value="Bilzen"/>
              <xsd:enumeration value="Binche"/>
              <xsd:enumeration value="Blankenberge"/>
              <xsd:enumeration value="Boom"/>
              <xsd:enumeration value="Bornem"/>
              <xsd:enumeration value="Borsbeek"/>
              <xsd:enumeration value="Bouillon"/>
              <xsd:enumeration value="Braine-l'Alleud"/>
              <xsd:enumeration value="Braine-Le-Comte"/>
              <xsd:enumeration value="Brakel"/>
              <xsd:enumeration value="Brasschaat"/>
              <xsd:enumeration value="Brecht"/>
              <xsd:enumeration value="Bree"/>
              <xsd:enumeration value="Brugge"/>
              <xsd:enumeration value="Brussel-Bruxelles"/>
              <xsd:enumeration value="Buggenhout"/>
              <xsd:enumeration value="Bullange"/>
              <xsd:enumeration value="Burg-Reuland"/>
              <xsd:enumeration value="Charleroi"/>
              <xsd:enumeration value="Chièvres"/>
              <xsd:enumeration value="Chimay"/>
              <xsd:enumeration value="Ciney"/>
              <xsd:enumeration value="Comines-Warneton"/>
              <xsd:enumeration value="Couvin"/>
              <xsd:enumeration value="De Haan"/>
              <xsd:enumeration value="De Panne"/>
              <xsd:enumeration value="Deerlijk"/>
              <xsd:enumeration value="Deinze"/>
              <xsd:enumeration value="Denderleeuw"/>
              <xsd:enumeration value="Dendermonde"/>
              <xsd:enumeration value="Diest"/>
              <xsd:enumeration value="Diksmuide"/>
              <xsd:enumeration value="Dinant"/>
              <xsd:enumeration value="Dour"/>
              <xsd:enumeration value="Duffel"/>
              <xsd:enumeration value="Edegem"/>
              <xsd:enumeration value="Eeklo"/>
              <xsd:enumeration value="Eghezée"/>
              <xsd:enumeration value="Enghien"/>
              <xsd:enumeration value="Erezée"/>
              <xsd:enumeration value="Essen"/>
              <xsd:enumeration value="Etalle"/>
              <xsd:enumeration value="Eupen"/>
              <xsd:enumeration value="Flémalle"/>
              <xsd:enumeration value="Fleurus"/>
              <xsd:enumeration value="Florennes"/>
              <xsd:enumeration value="Fosses-La-Ville"/>
              <xsd:enumeration value="Gavere"/>
              <xsd:enumeration value="Gedinne"/>
              <xsd:enumeration value="Geel"/>
              <xsd:enumeration value="Gembloux"/>
              <xsd:enumeration value="Genk"/>
              <xsd:enumeration value="Gent"/>
              <xsd:enumeration value="Geraardsbergen"/>
              <xsd:enumeration value="Gistel"/>
              <xsd:enumeration value="Grobbendonk"/>
              <xsd:enumeration value="Halle"/>
              <xsd:enumeration value="Hamme"/>
              <xsd:enumeration value="Hamoir"/>
              <xsd:enumeration value="Hannut"/>
              <xsd:enumeration value="Harelbeke"/>
              <xsd:enumeration value="Hasselt"/>
              <xsd:enumeration value="Heist-op-den-Berg"/>
              <xsd:enumeration value="Hemiksem"/>
              <xsd:enumeration value="Herentals"/>
              <xsd:enumeration value="Herenthout"/>
              <xsd:enumeration value="Herve"/>
              <xsd:enumeration value="Herzele"/>
              <xsd:enumeration value="Heusden-Zolder"/>
              <xsd:enumeration value="Heuvelland"/>
              <xsd:enumeration value="Hoeselt"/>
              <xsd:enumeration value="Hooglede"/>
              <xsd:enumeration value="Hoogstraten"/>
              <xsd:enumeration value="Houffalize"/>
              <xsd:enumeration value="Houthulst"/>
              <xsd:enumeration value="Huy"/>
              <xsd:enumeration value="Ieper"/>
              <xsd:enumeration value="Ingelmunster"/>
              <xsd:enumeration value="Izegem"/>
              <xsd:enumeration value="Jodoigne"/>
              <xsd:enumeration value="Kalmthout"/>
              <xsd:enumeration value="Kapellen"/>
              <xsd:enumeration value="Kaprijke"/>
              <xsd:enumeration value="Kasterlee"/>
              <xsd:enumeration value="Kluisbergen"/>
              <xsd:enumeration value="Knokke-Heist"/>
              <xsd:enumeration value="Koekelare"/>
              <xsd:enumeration value="Koksijde"/>
              <xsd:enumeration value="Kontich"/>
              <xsd:enumeration value="Kortemark"/>
              <xsd:enumeration value="Kortrijk"/>
              <xsd:enumeration value="Kruibeke"/>
              <xsd:enumeration value="Kruishoutem"/>
              <xsd:enumeration value="Kuurne"/>
              <xsd:enumeration value="La Calamine"/>
              <xsd:enumeration value="La Louvière"/>
              <xsd:enumeration value="Landen"/>
              <xsd:enumeration value="Langemark-Poelkapelle"/>
              <xsd:enumeration value="Lebbeke"/>
              <xsd:enumeration value="Lede"/>
              <xsd:enumeration value="Ledegem"/>
              <xsd:enumeration value="Lendelede"/>
              <xsd:enumeration value="Lennik"/>
              <xsd:enumeration value="Leopoldsburg"/>
              <xsd:enumeration value="Lessines"/>
              <xsd:enumeration value="Leuven"/>
              <xsd:enumeration value="Leuze-en-Hainaut"/>
              <xsd:enumeration value="Lichtervelde"/>
              <xsd:enumeration value="Liège"/>
              <xsd:enumeration value="Lier"/>
              <xsd:enumeration value="Limbourg"/>
              <xsd:enumeration value="Lochristi"/>
              <xsd:enumeration value="Lokeren"/>
              <xsd:enumeration value="Lommel"/>
              <xsd:enumeration value="Londerzeel"/>
              <xsd:enumeration value="Lontzen-Herbesthal"/>
              <xsd:enumeration value="Lo-Reninge"/>
              <xsd:enumeration value="Maaseik"/>
              <xsd:enumeration value="Maasmechelen"/>
              <xsd:enumeration value="Maldegem"/>
              <xsd:enumeration value="Malle"/>
              <xsd:enumeration value="Malmedy"/>
              <xsd:enumeration value="Marche-en-Famenne"/>
              <xsd:enumeration value="Mechelen"/>
              <xsd:enumeration value="Melle"/>
              <xsd:enumeration value="Menen"/>
              <xsd:enumeration value="Merelbeke"/>
              <xsd:enumeration value="Merksplas"/>
              <xsd:enumeration value="Mesen"/>
              <xsd:enumeration value="Meulebeke"/>
              <xsd:enumeration value="Middelkerke"/>
              <xsd:enumeration value="Mol"/>
              <xsd:enumeration value="Mons"/>
              <xsd:enumeration value="Moorslede"/>
              <xsd:enumeration value="Mouscron"/>
              <xsd:enumeration value="Namur"/>
              <xsd:enumeration value="Neufchâteau"/>
              <xsd:enumeration value="Nevele"/>
              <xsd:enumeration value="Niel"/>
              <xsd:enumeration value="Nieuwpoort"/>
              <xsd:enumeration value="Nijlen"/>
              <xsd:enumeration value="Ninove"/>
              <xsd:enumeration value="Nivelles"/>
              <xsd:enumeration value="Oostende"/>
              <xsd:enumeration value="Oostkamp"/>
              <xsd:enumeration value="Opwijk"/>
              <xsd:enumeration value="Oudenaarde"/>
              <xsd:enumeration value="Overijse"/>
              <xsd:enumeration value="Paliseul"/>
              <xsd:enumeration value="Pépinster"/>
              <xsd:enumeration value="Péruwelz"/>
              <xsd:enumeration value="Philippeville"/>
              <xsd:enumeration value="Pittem"/>
              <xsd:enumeration value="Plombières"/>
              <xsd:enumeration value="Poperinge"/>
              <xsd:enumeration value="Putte"/>
              <xsd:enumeration value="Puurs"/>
              <xsd:enumeration value="Quiévrain"/>
              <xsd:enumeration value="Ravels"/>
              <xsd:enumeration value="Rijkevorsel"/>
              <xsd:enumeration value="Rochefort"/>
              <xsd:enumeration value="Roeselare"/>
              <xsd:enumeration value="Ronse"/>
              <xsd:enumeration value="Ruiselede"/>
              <xsd:enumeration value="Saint-Ghislain"/>
              <xsd:enumeration value="Saint-Hubert"/>
              <xsd:enumeration value="Saint-Vith"/>
              <xsd:enumeration value="Sambreville"/>
              <xsd:enumeration value="Scherpenheuvel-Zichem"/>
              <xsd:enumeration value="Schoten"/>
              <xsd:enumeration value="Sint-Gillis-Waas"/>
              <xsd:enumeration value="Sint-Niklaas"/>
              <xsd:enumeration value="Sint-Truiden"/>
              <xsd:enumeration value="Soignies"/>
              <xsd:enumeration value="Spa"/>
              <xsd:enumeration value="Staden"/>
              <xsd:enumeration value="Stavelot"/>
              <xsd:enumeration value="Stekene"/>
              <xsd:enumeration value="Temse"/>
              <xsd:enumeration value="Theux"/>
              <xsd:enumeration value="Thuin"/>
              <xsd:enumeration value="Tielt"/>
              <xsd:enumeration value="Tienen"/>
              <xsd:enumeration value="Tongeren"/>
              <xsd:enumeration value="Torhout"/>
              <xsd:enumeration value="Tournai"/>
              <xsd:enumeration value="Tubize"/>
              <xsd:enumeration value="Turnhout"/>
              <xsd:enumeration value="Verviers"/>
              <xsd:enumeration value="Veurne"/>
              <xsd:enumeration value="Vielsalm"/>
              <xsd:enumeration value="Vilvoorde"/>
              <xsd:enumeration value="Virton"/>
              <xsd:enumeration value="Vosselaar"/>
              <xsd:enumeration value="Vresse-sur-Semois"/>
              <xsd:enumeration value="Waarschoot"/>
              <xsd:enumeration value="Waasmunster"/>
              <xsd:enumeration value="Waimes"/>
              <xsd:enumeration value="Waregem"/>
              <xsd:enumeration value="Waremme"/>
              <xsd:enumeration value="Wavre"/>
              <xsd:enumeration value="Welkenraedt"/>
              <xsd:enumeration value="Wervik"/>
              <xsd:enumeration value="Westerlo"/>
              <xsd:enumeration value="Wetteren"/>
              <xsd:enumeration value="Wevelgem"/>
              <xsd:enumeration value="Wichelen"/>
              <xsd:enumeration value="Willebroek"/>
              <xsd:enumeration value="Wingene"/>
              <xsd:enumeration value="Wommelgem"/>
              <xsd:enumeration value="Wuustwezel"/>
              <xsd:enumeration value="Yvoir"/>
              <xsd:enumeration value="Zandhoven"/>
              <xsd:enumeration value="Zaventem"/>
              <xsd:enumeration value="Zele"/>
              <xsd:enumeration value="Zelzate"/>
              <xsd:enumeration value="Zoersel"/>
              <xsd:enumeration value="Zomergem"/>
              <xsd:enumeration value="Zonnebeke"/>
              <xsd:enumeration value="Zottegem"/>
              <xsd:enumeration value="Zwevegem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aborateur xmlns="d6e05fb4-4ff7-45e7-9d0d-b9f3e278ffe2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sous-classement xmlns="d6e05fb4-4ff7-45e7-9d0d-b9f3e278ffe2" xsi:nil="true"/>
    <Catégorie xmlns="d6e05fb4-4ff7-45e7-9d0d-b9f3e278ffe2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A438B7-B543-43CD-9118-738B07F70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C20ED-C3FE-4DE6-A3AC-0C4307149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e05fb4-4ff7-45e7-9d0d-b9f3e278f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DE457-5086-4EDA-83A5-3B50463E7496}">
  <ds:schemaRefs>
    <ds:schemaRef ds:uri="http://schemas.microsoft.com/office/2006/metadata/properties"/>
    <ds:schemaRef ds:uri="http://schemas.microsoft.com/office/infopath/2007/PartnerControls"/>
    <ds:schemaRef ds:uri="d6e05fb4-4ff7-45e7-9d0d-b9f3e278ffe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3</cp:revision>
  <cp:lastPrinted>2014-06-03T09:45:00Z</cp:lastPrinted>
  <dcterms:created xsi:type="dcterms:W3CDTF">2016-05-23T09:11:00Z</dcterms:created>
  <dcterms:modified xsi:type="dcterms:W3CDTF">2016-05-23T09:39:00Z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0x01010015F3AD7BBF1C204087F8A0A9FEFE37B4</vt:lpwstr>
  </property>
</Properties>
</file>