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38E57" w14:textId="033892EB" w:rsidR="00E13573" w:rsidRDefault="00E13573">
      <w:r>
        <w:t>BIJLAGE 17</w:t>
      </w:r>
    </w:p>
    <w:tbl>
      <w:tblPr>
        <w:tblStyle w:val="Tabelraster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777"/>
        <w:gridCol w:w="2009"/>
        <w:gridCol w:w="4496"/>
      </w:tblGrid>
      <w:tr w:rsidR="00BE0919" w14:paraId="54B00516" w14:textId="77777777" w:rsidTr="00D0636A">
        <w:trPr>
          <w:trHeight w:val="367"/>
        </w:trPr>
        <w:tc>
          <w:tcPr>
            <w:tcW w:w="2777" w:type="dxa"/>
            <w:vMerge w:val="restart"/>
            <w:tcBorders>
              <w:right w:val="single" w:sz="4" w:space="0" w:color="auto"/>
            </w:tcBorders>
          </w:tcPr>
          <w:p w14:paraId="53293C41" w14:textId="45171545" w:rsidR="00BE0919" w:rsidRPr="009A0481" w:rsidRDefault="00BE0919">
            <w:pPr>
              <w:rPr>
                <w:lang w:val="nl-NL"/>
              </w:rPr>
            </w:pP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F9725C" w14:textId="77777777" w:rsidR="00BE0919" w:rsidRPr="009A0481" w:rsidRDefault="00BE0919">
            <w:pPr>
              <w:rPr>
                <w:lang w:val="nl-NL"/>
              </w:rPr>
            </w:pPr>
          </w:p>
          <w:p w14:paraId="03AEC150" w14:textId="77777777" w:rsidR="00BE0919" w:rsidRPr="005A3477" w:rsidRDefault="00BE0919" w:rsidP="00BE0919">
            <w:pPr>
              <w:shd w:val="clear" w:color="auto" w:fill="D9D9D9" w:themeFill="background1" w:themeFillShade="D9"/>
              <w:jc w:val="center"/>
              <w:rPr>
                <w:color w:val="0000FF"/>
                <w:sz w:val="48"/>
                <w:szCs w:val="48"/>
                <w:u w:val="single"/>
                <w:lang w:val="nl-NL"/>
              </w:rPr>
            </w:pPr>
            <w:r w:rsidRPr="005A3477">
              <w:rPr>
                <w:color w:val="0000FF"/>
                <w:sz w:val="48"/>
                <w:szCs w:val="48"/>
                <w:u w:val="single"/>
                <w:lang w:val="nl-NL"/>
              </w:rPr>
              <w:t>Functiebeschrijving</w:t>
            </w:r>
          </w:p>
          <w:p w14:paraId="0F589746" w14:textId="77777777" w:rsidR="00BE0919" w:rsidRPr="009A0481" w:rsidRDefault="00BE0919">
            <w:pPr>
              <w:rPr>
                <w:lang w:val="nl-NL"/>
              </w:rPr>
            </w:pPr>
          </w:p>
        </w:tc>
      </w:tr>
      <w:tr w:rsidR="00BE0919" w14:paraId="476D3EF9" w14:textId="77777777" w:rsidTr="00D0636A">
        <w:trPr>
          <w:trHeight w:val="366"/>
        </w:trPr>
        <w:tc>
          <w:tcPr>
            <w:tcW w:w="2777" w:type="dxa"/>
            <w:vMerge/>
            <w:tcBorders>
              <w:right w:val="single" w:sz="4" w:space="0" w:color="auto"/>
            </w:tcBorders>
          </w:tcPr>
          <w:p w14:paraId="0D8FBFFD" w14:textId="77777777" w:rsidR="00BE0919" w:rsidRPr="009A0481" w:rsidRDefault="00BE0919">
            <w:pPr>
              <w:rPr>
                <w:lang w:val="nl-NL"/>
              </w:rPr>
            </w:pPr>
          </w:p>
        </w:tc>
        <w:tc>
          <w:tcPr>
            <w:tcW w:w="6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37F9B" w14:textId="7A4B92A4" w:rsidR="00BE0919" w:rsidRDefault="00802652" w:rsidP="00BE0919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sz w:val="48"/>
                <w:szCs w:val="48"/>
                <w:lang w:val="nl-NL"/>
              </w:rPr>
            </w:pPr>
            <w:r>
              <w:rPr>
                <w:b/>
                <w:color w:val="0000FF"/>
                <w:sz w:val="48"/>
                <w:szCs w:val="48"/>
                <w:lang w:val="nl-NL"/>
              </w:rPr>
              <w:t>Hulpverlener - a</w:t>
            </w:r>
            <w:r w:rsidR="00E749F5">
              <w:rPr>
                <w:b/>
                <w:color w:val="0000FF"/>
                <w:sz w:val="48"/>
                <w:szCs w:val="48"/>
                <w:lang w:val="nl-NL"/>
              </w:rPr>
              <w:t>mbulancier</w:t>
            </w:r>
          </w:p>
          <w:p w14:paraId="44C8F299" w14:textId="6C0FB7A3" w:rsidR="003D0D91" w:rsidRPr="003D0D91" w:rsidRDefault="003D0D91" w:rsidP="00BE0919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lang w:val="nl-NL"/>
              </w:rPr>
            </w:pPr>
            <w:r w:rsidRPr="003D0D91">
              <w:rPr>
                <w:b/>
                <w:color w:val="0000FF"/>
                <w:lang w:val="nl-NL"/>
              </w:rPr>
              <w:t>(operationeel kader)</w:t>
            </w:r>
          </w:p>
          <w:p w14:paraId="5EC50568" w14:textId="77777777" w:rsidR="00BE0919" w:rsidRPr="009A0481" w:rsidRDefault="00BE0919">
            <w:pPr>
              <w:rPr>
                <w:lang w:val="nl-NL"/>
              </w:rPr>
            </w:pPr>
          </w:p>
        </w:tc>
      </w:tr>
      <w:tr w:rsidR="00BE0919" w14:paraId="4BB4F2E1" w14:textId="77777777" w:rsidTr="00D0636A">
        <w:tc>
          <w:tcPr>
            <w:tcW w:w="2777" w:type="dxa"/>
          </w:tcPr>
          <w:p w14:paraId="7A21B081" w14:textId="12E7B945" w:rsidR="00BE0919" w:rsidRDefault="00BE0919" w:rsidP="009A0481">
            <w:pPr>
              <w:rPr>
                <w:b/>
                <w:color w:val="0000FF"/>
                <w:sz w:val="20"/>
                <w:szCs w:val="20"/>
                <w:lang w:val="nl-NL"/>
              </w:rPr>
            </w:pPr>
          </w:p>
          <w:p w14:paraId="797D39F9" w14:textId="77777777" w:rsidR="00BE0919" w:rsidRDefault="00BE0919" w:rsidP="009A0481">
            <w:pPr>
              <w:rPr>
                <w:b/>
                <w:color w:val="0000FF"/>
                <w:sz w:val="20"/>
                <w:szCs w:val="20"/>
                <w:lang w:val="nl-NL"/>
              </w:rPr>
            </w:pPr>
          </w:p>
          <w:p w14:paraId="54260210" w14:textId="77777777" w:rsidR="00BE0919" w:rsidRDefault="00BE0919" w:rsidP="009A0481">
            <w:pPr>
              <w:rPr>
                <w:b/>
                <w:color w:val="0000FF"/>
                <w:sz w:val="20"/>
                <w:szCs w:val="20"/>
                <w:lang w:val="nl-NL"/>
              </w:rPr>
            </w:pPr>
          </w:p>
          <w:p w14:paraId="4579D6BF" w14:textId="77777777" w:rsidR="00BE0919" w:rsidRPr="009A0481" w:rsidRDefault="00BE0919" w:rsidP="009A0481">
            <w:pPr>
              <w:rPr>
                <w:b/>
                <w:color w:val="0000FF"/>
                <w:sz w:val="20"/>
                <w:szCs w:val="20"/>
                <w:lang w:val="nl-NL"/>
              </w:rPr>
            </w:pPr>
          </w:p>
        </w:tc>
        <w:tc>
          <w:tcPr>
            <w:tcW w:w="6505" w:type="dxa"/>
            <w:gridSpan w:val="2"/>
            <w:tcBorders>
              <w:top w:val="single" w:sz="4" w:space="0" w:color="auto"/>
            </w:tcBorders>
          </w:tcPr>
          <w:p w14:paraId="5EBB5545" w14:textId="77777777" w:rsidR="00E13573" w:rsidRDefault="00E13573" w:rsidP="004361AC">
            <w:pPr>
              <w:rPr>
                <w:rFonts w:cs="Arial"/>
                <w:color w:val="000000"/>
                <w:sz w:val="20"/>
                <w:szCs w:val="20"/>
                <w:lang w:val="nl-NL"/>
              </w:rPr>
            </w:pPr>
          </w:p>
          <w:p w14:paraId="4669DB29" w14:textId="4FFE4041" w:rsidR="00BE0919" w:rsidRDefault="00BE0919" w:rsidP="00E13573">
            <w:pPr>
              <w:jc w:val="center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Deze functie is </w:t>
            </w:r>
            <w:r w:rsidR="002677FF">
              <w:rPr>
                <w:rFonts w:cs="Arial"/>
                <w:color w:val="000000"/>
                <w:sz w:val="20"/>
                <w:szCs w:val="20"/>
                <w:lang w:val="nl-NL"/>
              </w:rPr>
              <w:t>i</w:t>
            </w:r>
            <w:r w:rsidR="002677FF" w:rsidRPr="002677FF"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n principe </w:t>
            </w:r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gekoppeld aan de functie van </w:t>
            </w:r>
            <w:r w:rsidR="00802652">
              <w:rPr>
                <w:rFonts w:cs="Arial"/>
                <w:color w:val="000000"/>
                <w:sz w:val="20"/>
                <w:szCs w:val="20"/>
                <w:lang w:val="nl-NL"/>
              </w:rPr>
              <w:t>basis-</w:t>
            </w:r>
            <w:r w:rsidR="00CD2241">
              <w:rPr>
                <w:rFonts w:cs="Arial"/>
                <w:color w:val="000000"/>
                <w:sz w:val="20"/>
                <w:szCs w:val="20"/>
                <w:lang w:val="nl-NL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</w:t>
            </w:r>
            <w:r w:rsidR="003D0D91">
              <w:rPr>
                <w:rFonts w:cs="Arial"/>
                <w:color w:val="000000"/>
                <w:sz w:val="20"/>
                <w:szCs w:val="20"/>
                <w:lang w:val="nl-NL"/>
              </w:rPr>
              <w:t>middenkader</w:t>
            </w:r>
            <w:r w:rsidR="00CD2241"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of luitenant</w:t>
            </w:r>
            <w:r w:rsidR="003D0D91">
              <w:rPr>
                <w:rFonts w:cs="Arial"/>
                <w:color w:val="000000"/>
                <w:sz w:val="20"/>
                <w:szCs w:val="20"/>
                <w:lang w:val="nl-NL"/>
              </w:rPr>
              <w:t>.</w:t>
            </w:r>
          </w:p>
          <w:p w14:paraId="5BDE8DBF" w14:textId="77777777" w:rsidR="00E13573" w:rsidRDefault="00E13573" w:rsidP="00E13573">
            <w:pPr>
              <w:jc w:val="center"/>
              <w:rPr>
                <w:rFonts w:cs="Arial"/>
                <w:color w:val="000000"/>
                <w:sz w:val="20"/>
                <w:szCs w:val="20"/>
                <w:lang w:val="nl-NL"/>
              </w:rPr>
            </w:pPr>
          </w:p>
          <w:p w14:paraId="52C2C8AF" w14:textId="2284EAE3" w:rsidR="00BE0919" w:rsidRDefault="00BE0919" w:rsidP="00E13573">
            <w:pPr>
              <w:jc w:val="center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 w:rsidRPr="00BE0919"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De zone voorziet deze </w:t>
            </w:r>
            <w:r>
              <w:rPr>
                <w:rFonts w:cs="Arial"/>
                <w:color w:val="000000"/>
                <w:sz w:val="20"/>
                <w:szCs w:val="20"/>
                <w:lang w:val="nl-NL"/>
              </w:rPr>
              <w:t>functie</w:t>
            </w:r>
            <w:r w:rsidRPr="00BE0919"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in functie van haar risicoanalyse.</w:t>
            </w:r>
          </w:p>
          <w:p w14:paraId="3364F60B" w14:textId="77777777" w:rsidR="00E749F5" w:rsidRDefault="00E749F5" w:rsidP="00E13573">
            <w:pPr>
              <w:jc w:val="center"/>
              <w:rPr>
                <w:rFonts w:cs="Arial"/>
                <w:color w:val="000000"/>
                <w:sz w:val="20"/>
                <w:szCs w:val="20"/>
                <w:lang w:val="nl-NL"/>
              </w:rPr>
            </w:pPr>
          </w:p>
          <w:p w14:paraId="4CEB83E9" w14:textId="46397F8F" w:rsidR="00BE0919" w:rsidRDefault="00E749F5" w:rsidP="00E13573">
            <w:pPr>
              <w:jc w:val="center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>Er bestaat echter de mogelijkheid dat in bepaalde zones een ambulancier in dienst wordt genomen zonder operationele taken van de brandweer uit te voeren</w:t>
            </w:r>
            <w:r w:rsidR="00802652"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en zonder een brandweergraad te dragen</w:t>
            </w:r>
            <w:r>
              <w:rPr>
                <w:rFonts w:cs="Arial"/>
                <w:color w:val="000000"/>
                <w:sz w:val="20"/>
                <w:szCs w:val="20"/>
                <w:lang w:val="nl-NL"/>
              </w:rPr>
              <w:t>.</w:t>
            </w:r>
            <w:r w:rsidR="00E13573"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(KB 23/</w:t>
            </w:r>
            <w:r w:rsidR="006C3B5D">
              <w:rPr>
                <w:rFonts w:cs="Arial"/>
                <w:color w:val="000000"/>
                <w:sz w:val="20"/>
                <w:szCs w:val="20"/>
                <w:lang w:val="nl-NL"/>
              </w:rPr>
              <w:t>08</w:t>
            </w:r>
            <w:r w:rsidR="00E13573">
              <w:rPr>
                <w:rFonts w:cs="Arial"/>
                <w:color w:val="000000"/>
                <w:sz w:val="20"/>
                <w:szCs w:val="20"/>
                <w:lang w:val="nl-NL"/>
              </w:rPr>
              <w:t>/</w:t>
            </w:r>
            <w:r w:rsidR="006C3B5D">
              <w:rPr>
                <w:rFonts w:cs="Arial"/>
                <w:color w:val="000000"/>
                <w:sz w:val="20"/>
                <w:szCs w:val="20"/>
                <w:lang w:val="nl-NL"/>
              </w:rPr>
              <w:t>2014)</w:t>
            </w:r>
          </w:p>
          <w:p w14:paraId="6E303D84" w14:textId="3FD797E8" w:rsidR="006C3B5D" w:rsidRPr="003D0D91" w:rsidRDefault="006C3B5D" w:rsidP="004361AC">
            <w:pPr>
              <w:rPr>
                <w:rFonts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9A0481" w:rsidRPr="00C05041" w14:paraId="02F6D96F" w14:textId="77777777" w:rsidTr="00D0636A">
        <w:tc>
          <w:tcPr>
            <w:tcW w:w="2777" w:type="dxa"/>
          </w:tcPr>
          <w:p w14:paraId="4C83416E" w14:textId="77777777" w:rsidR="009A0481" w:rsidRPr="009A0481" w:rsidRDefault="009A0481" w:rsidP="009A0481">
            <w:pPr>
              <w:rPr>
                <w:b/>
                <w:color w:val="0000FF"/>
                <w:sz w:val="20"/>
                <w:szCs w:val="20"/>
                <w:lang w:val="nl-NL"/>
              </w:rPr>
            </w:pPr>
            <w:r w:rsidRPr="009A0481">
              <w:rPr>
                <w:b/>
                <w:color w:val="0000FF"/>
                <w:sz w:val="20"/>
                <w:szCs w:val="20"/>
                <w:lang w:val="nl-NL"/>
              </w:rPr>
              <w:t>Beschrijving</w:t>
            </w:r>
          </w:p>
          <w:p w14:paraId="62720634" w14:textId="77777777" w:rsidR="009A0481" w:rsidRPr="009A0481" w:rsidRDefault="009A0481" w:rsidP="009A0481">
            <w:pPr>
              <w:rPr>
                <w:b/>
                <w:color w:val="0000FF"/>
                <w:sz w:val="20"/>
                <w:szCs w:val="20"/>
                <w:lang w:val="nl-NL"/>
              </w:rPr>
            </w:pPr>
          </w:p>
          <w:p w14:paraId="4B64F2A6" w14:textId="77777777" w:rsidR="009A0481" w:rsidRPr="009A0481" w:rsidRDefault="009A0481" w:rsidP="009A0481">
            <w:pPr>
              <w:rPr>
                <w:b/>
                <w:color w:val="0000FF"/>
                <w:sz w:val="20"/>
                <w:szCs w:val="20"/>
                <w:lang w:val="nl-NL"/>
              </w:rPr>
            </w:pPr>
          </w:p>
        </w:tc>
        <w:tc>
          <w:tcPr>
            <w:tcW w:w="6505" w:type="dxa"/>
            <w:gridSpan w:val="2"/>
          </w:tcPr>
          <w:p w14:paraId="53C323AA" w14:textId="77777777" w:rsidR="00E13573" w:rsidRDefault="00E13573" w:rsidP="00E749F5">
            <w:pPr>
              <w:rPr>
                <w:sz w:val="20"/>
                <w:szCs w:val="20"/>
                <w:lang w:val="nl-NL"/>
              </w:rPr>
            </w:pPr>
          </w:p>
          <w:p w14:paraId="01660980" w14:textId="40459B88" w:rsidR="00E749F5" w:rsidRDefault="00731AFB" w:rsidP="00E749F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De </w:t>
            </w:r>
            <w:r w:rsidR="00E749F5" w:rsidRPr="00722BF7">
              <w:rPr>
                <w:sz w:val="20"/>
                <w:szCs w:val="20"/>
                <w:lang w:val="nl-NL"/>
              </w:rPr>
              <w:t>hulpverlener-ambulancier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="00E749F5" w:rsidRPr="00722BF7">
              <w:rPr>
                <w:sz w:val="20"/>
                <w:szCs w:val="20"/>
                <w:lang w:val="nl-NL"/>
              </w:rPr>
              <w:t>maak</w:t>
            </w:r>
            <w:r>
              <w:rPr>
                <w:sz w:val="20"/>
                <w:szCs w:val="20"/>
                <w:lang w:val="nl-NL"/>
              </w:rPr>
              <w:t>t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deel uit van een belangrijke schakel in de keten van dringende geneeskundige hulpverlening. </w:t>
            </w:r>
            <w:r>
              <w:rPr>
                <w:sz w:val="20"/>
                <w:szCs w:val="20"/>
                <w:lang w:val="nl-NL"/>
              </w:rPr>
              <w:t>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werkt in een beperkt team. </w:t>
            </w:r>
            <w:r>
              <w:rPr>
                <w:sz w:val="20"/>
                <w:szCs w:val="20"/>
                <w:lang w:val="nl-NL"/>
              </w:rPr>
              <w:t>Hij</w:t>
            </w:r>
            <w:r w:rsidR="00E749F5">
              <w:rPr>
                <w:sz w:val="20"/>
                <w:szCs w:val="20"/>
                <w:lang w:val="nl-NL"/>
              </w:rPr>
              <w:t xml:space="preserve"> kan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doortastend en zelfstandig handelingen stellen. </w:t>
            </w:r>
            <w:r>
              <w:rPr>
                <w:sz w:val="20"/>
                <w:szCs w:val="20"/>
                <w:lang w:val="nl-NL"/>
              </w:rPr>
              <w:t>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beschikt over een goed inlevingsvermogen en he</w:t>
            </w:r>
            <w:r>
              <w:rPr>
                <w:sz w:val="20"/>
                <w:szCs w:val="20"/>
                <w:lang w:val="nl-NL"/>
              </w:rPr>
              <w:t>ef</w:t>
            </w:r>
            <w:r w:rsidR="00E749F5" w:rsidRPr="00722BF7">
              <w:rPr>
                <w:sz w:val="20"/>
                <w:szCs w:val="20"/>
                <w:lang w:val="nl-NL"/>
              </w:rPr>
              <w:t>t een bijzondere aandacht voor medische hygiëne en preventie.</w:t>
            </w:r>
          </w:p>
          <w:p w14:paraId="648062D6" w14:textId="77777777" w:rsidR="00731AFB" w:rsidRPr="00722BF7" w:rsidRDefault="00731AFB" w:rsidP="00E749F5">
            <w:pPr>
              <w:rPr>
                <w:sz w:val="20"/>
                <w:szCs w:val="20"/>
                <w:lang w:val="nl-NL"/>
              </w:rPr>
            </w:pPr>
          </w:p>
          <w:p w14:paraId="428727E0" w14:textId="496C9748" w:rsidR="00E749F5" w:rsidRDefault="00E749F5" w:rsidP="00E749F5">
            <w:pPr>
              <w:rPr>
                <w:sz w:val="20"/>
                <w:szCs w:val="20"/>
                <w:lang w:val="nl-NL"/>
              </w:rPr>
            </w:pPr>
            <w:r w:rsidRPr="00722BF7">
              <w:rPr>
                <w:sz w:val="20"/>
                <w:szCs w:val="20"/>
                <w:lang w:val="nl-NL"/>
              </w:rPr>
              <w:t>Ter voorbereiding sta</w:t>
            </w:r>
            <w:r w:rsidR="00731AFB">
              <w:rPr>
                <w:sz w:val="20"/>
                <w:szCs w:val="20"/>
                <w:lang w:val="nl-NL"/>
              </w:rPr>
              <w:t>at</w:t>
            </w:r>
            <w:r w:rsidRPr="00722BF7">
              <w:rPr>
                <w:sz w:val="20"/>
                <w:szCs w:val="20"/>
                <w:lang w:val="nl-NL"/>
              </w:rPr>
              <w:t xml:space="preserve"> </w:t>
            </w:r>
            <w:r w:rsidR="00731AFB">
              <w:rPr>
                <w:sz w:val="20"/>
                <w:szCs w:val="20"/>
                <w:lang w:val="nl-NL"/>
              </w:rPr>
              <w:t>de hulpverlener-ambulancier</w:t>
            </w:r>
            <w:r w:rsidRPr="00722BF7">
              <w:rPr>
                <w:sz w:val="20"/>
                <w:szCs w:val="20"/>
                <w:lang w:val="nl-NL"/>
              </w:rPr>
              <w:t xml:space="preserve"> in voor het onderhoud van de ziekenwagen. </w:t>
            </w:r>
            <w:r w:rsidR="00731AFB">
              <w:rPr>
                <w:sz w:val="20"/>
                <w:szCs w:val="20"/>
                <w:lang w:val="nl-NL"/>
              </w:rPr>
              <w:t>Hij</w:t>
            </w:r>
            <w:r w:rsidRPr="00722BF7">
              <w:rPr>
                <w:sz w:val="20"/>
                <w:szCs w:val="20"/>
                <w:lang w:val="nl-NL"/>
              </w:rPr>
              <w:t xml:space="preserve"> zorgt dagelijks dat de inventaris in orde is en </w:t>
            </w:r>
            <w:r w:rsidR="00802652">
              <w:rPr>
                <w:sz w:val="20"/>
                <w:szCs w:val="20"/>
                <w:lang w:val="nl-NL"/>
              </w:rPr>
              <w:t xml:space="preserve">dat </w:t>
            </w:r>
            <w:r w:rsidRPr="00722BF7">
              <w:rPr>
                <w:sz w:val="20"/>
                <w:szCs w:val="20"/>
                <w:lang w:val="nl-NL"/>
              </w:rPr>
              <w:t xml:space="preserve">waar nodig aanvullingen worden gedaan. </w:t>
            </w:r>
            <w:r w:rsidR="00731AFB">
              <w:rPr>
                <w:sz w:val="20"/>
                <w:szCs w:val="20"/>
                <w:lang w:val="nl-NL"/>
              </w:rPr>
              <w:t>Hij</w:t>
            </w:r>
            <w:r w:rsidRPr="00722BF7">
              <w:rPr>
                <w:sz w:val="20"/>
                <w:szCs w:val="20"/>
                <w:lang w:val="nl-NL"/>
              </w:rPr>
              <w:t xml:space="preserve"> staat ook in nauw contact met de materiaalverantwoordelijke om zo steeds voldoende materiaal in voorraad te hebben.</w:t>
            </w:r>
          </w:p>
          <w:p w14:paraId="7372FF86" w14:textId="77777777" w:rsidR="00731AFB" w:rsidRPr="00722BF7" w:rsidRDefault="00731AFB" w:rsidP="00E749F5">
            <w:pPr>
              <w:rPr>
                <w:sz w:val="20"/>
                <w:szCs w:val="20"/>
                <w:lang w:val="nl-NL"/>
              </w:rPr>
            </w:pPr>
          </w:p>
          <w:p w14:paraId="61695E63" w14:textId="77777777" w:rsidR="00731AFB" w:rsidRDefault="00731AFB" w:rsidP="00E749F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De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hulpverlener-ambulancier ruk</w:t>
            </w:r>
            <w:r>
              <w:rPr>
                <w:sz w:val="20"/>
                <w:szCs w:val="20"/>
                <w:lang w:val="nl-NL"/>
              </w:rPr>
              <w:t>t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uit voor medische urgenties en voor bijstand aan de brandweer bij zware interventies. </w:t>
            </w:r>
            <w:r>
              <w:rPr>
                <w:sz w:val="20"/>
                <w:szCs w:val="20"/>
                <w:lang w:val="nl-NL"/>
              </w:rPr>
              <w:t>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vervult zo een cruciale rol in de operationele werking van de brandweer en de dringende geneeskundige hulpverlening in de zone.</w:t>
            </w:r>
          </w:p>
          <w:p w14:paraId="561194F1" w14:textId="2256DAC0" w:rsidR="00E749F5" w:rsidRPr="00722BF7" w:rsidRDefault="00E749F5" w:rsidP="00E749F5">
            <w:pPr>
              <w:rPr>
                <w:sz w:val="20"/>
                <w:szCs w:val="20"/>
                <w:lang w:val="nl-NL"/>
              </w:rPr>
            </w:pPr>
            <w:r w:rsidRPr="00722BF7">
              <w:rPr>
                <w:sz w:val="20"/>
                <w:szCs w:val="20"/>
                <w:lang w:val="nl-NL"/>
              </w:rPr>
              <w:t xml:space="preserve">  </w:t>
            </w:r>
          </w:p>
          <w:p w14:paraId="7B8BBB50" w14:textId="197DB456" w:rsidR="00E749F5" w:rsidRDefault="00731AFB" w:rsidP="00E749F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De</w:t>
            </w:r>
            <w:r w:rsidRPr="00722BF7">
              <w:rPr>
                <w:sz w:val="20"/>
                <w:szCs w:val="20"/>
                <w:lang w:val="nl-NL"/>
              </w:rPr>
              <w:t xml:space="preserve"> hulpverlener-ambulancier 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vervoert niet alleen een slachtoffer, </w:t>
            </w:r>
            <w:r>
              <w:rPr>
                <w:sz w:val="20"/>
                <w:szCs w:val="20"/>
                <w:lang w:val="nl-NL"/>
              </w:rPr>
              <w:t>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behandelt het slachtoffer volgens </w:t>
            </w:r>
            <w:r>
              <w:rPr>
                <w:sz w:val="20"/>
                <w:szCs w:val="20"/>
                <w:lang w:val="nl-NL"/>
              </w:rPr>
              <w:t>zijn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kennis en kunde en </w:t>
            </w:r>
            <w:r>
              <w:rPr>
                <w:sz w:val="20"/>
                <w:szCs w:val="20"/>
                <w:lang w:val="nl-NL"/>
              </w:rPr>
              <w:t>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brengt ook zeer belangrijke informatie van de plaats van het noodgebeuren naar het ziekenhuis over. Aangezien </w:t>
            </w:r>
            <w:r>
              <w:rPr>
                <w:sz w:val="20"/>
                <w:szCs w:val="20"/>
                <w:lang w:val="nl-NL"/>
              </w:rPr>
              <w:t>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vaak in contact komt met burgers in nood maar ook met artsen en verpleegkundigen van andere instellingen, bepaal</w:t>
            </w:r>
            <w:r>
              <w:rPr>
                <w:sz w:val="20"/>
                <w:szCs w:val="20"/>
                <w:lang w:val="nl-NL"/>
              </w:rPr>
              <w:t>t 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mee het gezicht van de zone en blijf</w:t>
            </w:r>
            <w:r>
              <w:rPr>
                <w:sz w:val="20"/>
                <w:szCs w:val="20"/>
                <w:lang w:val="nl-NL"/>
              </w:rPr>
              <w:t>t 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in alle omstandigheden begripsvol en tactvol.</w:t>
            </w:r>
          </w:p>
          <w:p w14:paraId="067C036A" w14:textId="77777777" w:rsidR="00731AFB" w:rsidRPr="00722BF7" w:rsidRDefault="00731AFB" w:rsidP="00E749F5">
            <w:pPr>
              <w:rPr>
                <w:sz w:val="20"/>
                <w:szCs w:val="20"/>
                <w:lang w:val="nl-NL"/>
              </w:rPr>
            </w:pPr>
          </w:p>
          <w:p w14:paraId="3A9DDD21" w14:textId="201992E4" w:rsidR="00E749F5" w:rsidRDefault="00731AFB" w:rsidP="00E749F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De</w:t>
            </w:r>
            <w:r w:rsidRPr="00722BF7">
              <w:rPr>
                <w:sz w:val="20"/>
                <w:szCs w:val="20"/>
                <w:lang w:val="nl-NL"/>
              </w:rPr>
              <w:t xml:space="preserve"> hulpverlener-ambulancier 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zorgt dat </w:t>
            </w:r>
            <w:r>
              <w:rPr>
                <w:sz w:val="20"/>
                <w:szCs w:val="20"/>
                <w:lang w:val="nl-NL"/>
              </w:rPr>
              <w:t>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continu bijgeschoold </w:t>
            </w:r>
            <w:r>
              <w:rPr>
                <w:sz w:val="20"/>
                <w:szCs w:val="20"/>
                <w:lang w:val="nl-NL"/>
              </w:rPr>
              <w:t xml:space="preserve">is 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en </w:t>
            </w:r>
            <w:r>
              <w:rPr>
                <w:sz w:val="20"/>
                <w:szCs w:val="20"/>
                <w:lang w:val="nl-NL"/>
              </w:rPr>
              <w:t>hij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houdt </w:t>
            </w:r>
            <w:r>
              <w:rPr>
                <w:sz w:val="20"/>
                <w:szCs w:val="20"/>
                <w:lang w:val="nl-NL"/>
              </w:rPr>
              <w:t>zich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op de hoogte van nieuwe werkwijzen en richtlijnen.</w:t>
            </w:r>
          </w:p>
          <w:p w14:paraId="1024EB01" w14:textId="77777777" w:rsidR="00731AFB" w:rsidRPr="00722BF7" w:rsidRDefault="00731AFB" w:rsidP="00E749F5">
            <w:pPr>
              <w:rPr>
                <w:sz w:val="20"/>
                <w:szCs w:val="20"/>
                <w:lang w:val="nl-NL"/>
              </w:rPr>
            </w:pPr>
          </w:p>
          <w:p w14:paraId="55391893" w14:textId="13E99409" w:rsidR="00E749F5" w:rsidRPr="00722BF7" w:rsidRDefault="00731AFB" w:rsidP="00E749F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De</w:t>
            </w:r>
            <w:r w:rsidRPr="00722BF7">
              <w:rPr>
                <w:sz w:val="20"/>
                <w:szCs w:val="20"/>
                <w:lang w:val="nl-NL"/>
              </w:rPr>
              <w:t xml:space="preserve"> hulpverlener-ambulancier 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informeert </w:t>
            </w:r>
            <w:r>
              <w:rPr>
                <w:sz w:val="20"/>
                <w:szCs w:val="20"/>
                <w:lang w:val="nl-NL"/>
              </w:rPr>
              <w:t>zich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continu over het nieuwe materiaal </w:t>
            </w:r>
            <w:r>
              <w:rPr>
                <w:sz w:val="20"/>
                <w:szCs w:val="20"/>
                <w:lang w:val="nl-NL"/>
              </w:rPr>
              <w:t>in</w:t>
            </w:r>
            <w:r w:rsidR="00E749F5" w:rsidRPr="00722BF7">
              <w:rPr>
                <w:sz w:val="20"/>
                <w:szCs w:val="20"/>
                <w:lang w:val="nl-NL"/>
              </w:rPr>
              <w:t xml:space="preserve"> de ziekenwagen.</w:t>
            </w:r>
          </w:p>
          <w:p w14:paraId="04E5E7B6" w14:textId="77777777" w:rsidR="009A0481" w:rsidRPr="009A0481" w:rsidRDefault="009A0481" w:rsidP="009A0481">
            <w:pPr>
              <w:rPr>
                <w:sz w:val="20"/>
                <w:szCs w:val="20"/>
                <w:lang w:val="nl-NL"/>
              </w:rPr>
            </w:pPr>
          </w:p>
        </w:tc>
      </w:tr>
      <w:tr w:rsidR="009A0481" w:rsidRPr="00C05041" w14:paraId="4409692D" w14:textId="77777777" w:rsidTr="00D0636A">
        <w:tc>
          <w:tcPr>
            <w:tcW w:w="2777" w:type="dxa"/>
          </w:tcPr>
          <w:p w14:paraId="46DE9E83" w14:textId="77777777" w:rsidR="009A0481" w:rsidRPr="009A0481" w:rsidRDefault="009A0481" w:rsidP="009A0481">
            <w:pPr>
              <w:rPr>
                <w:b/>
                <w:color w:val="0000FF"/>
                <w:sz w:val="20"/>
                <w:szCs w:val="20"/>
                <w:lang w:val="nl-NL"/>
              </w:rPr>
            </w:pPr>
            <w:r w:rsidRPr="009A0481">
              <w:rPr>
                <w:b/>
                <w:noProof/>
                <w:color w:val="0000FF"/>
                <w:sz w:val="20"/>
                <w:szCs w:val="20"/>
                <w:lang w:val="en-US"/>
              </w:rPr>
              <w:t>Kerntaken en takengebied</w:t>
            </w:r>
          </w:p>
        </w:tc>
        <w:tc>
          <w:tcPr>
            <w:tcW w:w="6505" w:type="dxa"/>
            <w:gridSpan w:val="2"/>
          </w:tcPr>
          <w:p w14:paraId="003C044F" w14:textId="77777777" w:rsidR="00E13573" w:rsidRDefault="00E13573" w:rsidP="003D0D91">
            <w:pPr>
              <w:rPr>
                <w:sz w:val="20"/>
                <w:szCs w:val="20"/>
                <w:lang w:val="nl-NL"/>
              </w:rPr>
            </w:pPr>
          </w:p>
          <w:p w14:paraId="49CBAB5B" w14:textId="65F48E0E" w:rsidR="009A0481" w:rsidRPr="004361AC" w:rsidRDefault="00904DB5" w:rsidP="003D0D91">
            <w:pPr>
              <w:rPr>
                <w:sz w:val="20"/>
                <w:szCs w:val="20"/>
                <w:lang w:val="nl-NL"/>
              </w:rPr>
            </w:pPr>
            <w:r w:rsidRPr="004361AC">
              <w:rPr>
                <w:sz w:val="20"/>
                <w:szCs w:val="20"/>
                <w:lang w:val="nl-NL"/>
              </w:rPr>
              <w:t xml:space="preserve">Voor de functie </w:t>
            </w:r>
            <w:r w:rsidR="00802652">
              <w:rPr>
                <w:sz w:val="20"/>
                <w:szCs w:val="20"/>
                <w:lang w:val="nl-NL"/>
              </w:rPr>
              <w:t>hulpverlener-</w:t>
            </w:r>
            <w:r w:rsidRPr="004361AC">
              <w:rPr>
                <w:sz w:val="20"/>
                <w:szCs w:val="20"/>
                <w:lang w:val="nl-NL"/>
              </w:rPr>
              <w:t xml:space="preserve">ambulancier </w:t>
            </w:r>
            <w:r w:rsidR="00E13573">
              <w:rPr>
                <w:sz w:val="20"/>
                <w:szCs w:val="20"/>
                <w:lang w:val="nl-NL"/>
              </w:rPr>
              <w:t>wordt verwezen</w:t>
            </w:r>
            <w:r w:rsidRPr="004361AC">
              <w:rPr>
                <w:sz w:val="20"/>
                <w:szCs w:val="20"/>
                <w:lang w:val="nl-NL"/>
              </w:rPr>
              <w:t xml:space="preserve"> naar het competentieprofiel opgemaakt door FOD volksgezondheid.</w:t>
            </w:r>
          </w:p>
          <w:p w14:paraId="02E0CDFA" w14:textId="77777777" w:rsidR="00904DB5" w:rsidRDefault="00904DB5" w:rsidP="00904DB5">
            <w:pPr>
              <w:pStyle w:val="Lijstalinea"/>
              <w:ind w:left="346"/>
              <w:rPr>
                <w:sz w:val="20"/>
                <w:szCs w:val="20"/>
              </w:rPr>
            </w:pPr>
          </w:p>
          <w:p w14:paraId="054AA5D9" w14:textId="77777777" w:rsidR="00731AFB" w:rsidRDefault="00731AFB" w:rsidP="00904DB5">
            <w:pPr>
              <w:pStyle w:val="Lijstalinea"/>
              <w:ind w:left="346"/>
              <w:rPr>
                <w:sz w:val="20"/>
                <w:szCs w:val="20"/>
              </w:rPr>
            </w:pPr>
          </w:p>
          <w:p w14:paraId="53A38A9C" w14:textId="1E053B96" w:rsidR="00731AFB" w:rsidRPr="00904DB5" w:rsidRDefault="00731AFB" w:rsidP="00904DB5">
            <w:pPr>
              <w:pStyle w:val="Lijstalinea"/>
              <w:ind w:left="346"/>
              <w:rPr>
                <w:sz w:val="20"/>
                <w:szCs w:val="20"/>
              </w:rPr>
            </w:pPr>
          </w:p>
        </w:tc>
      </w:tr>
      <w:tr w:rsidR="00D93787" w:rsidRPr="00C05041" w14:paraId="4445A9E7" w14:textId="77777777" w:rsidTr="00D0636A">
        <w:tc>
          <w:tcPr>
            <w:tcW w:w="2777" w:type="dxa"/>
          </w:tcPr>
          <w:p w14:paraId="0BB3CE41" w14:textId="230947BB" w:rsidR="00D93787" w:rsidRPr="009A0481" w:rsidRDefault="00D93787" w:rsidP="00D93787">
            <w:pPr>
              <w:rPr>
                <w:b/>
                <w:color w:val="0000FF"/>
                <w:sz w:val="20"/>
                <w:szCs w:val="20"/>
                <w:lang w:val="nl-NL"/>
              </w:rPr>
            </w:pPr>
          </w:p>
        </w:tc>
        <w:tc>
          <w:tcPr>
            <w:tcW w:w="6505" w:type="dxa"/>
            <w:gridSpan w:val="2"/>
          </w:tcPr>
          <w:p w14:paraId="197DEC1F" w14:textId="77777777" w:rsidR="00E13573" w:rsidRDefault="00E13573" w:rsidP="001F5641">
            <w:pPr>
              <w:outlineLvl w:val="0"/>
              <w:rPr>
                <w:rFonts w:cs="Arial"/>
                <w:sz w:val="20"/>
                <w:szCs w:val="20"/>
                <w:lang w:val="nl-NL"/>
              </w:rPr>
            </w:pPr>
          </w:p>
          <w:p w14:paraId="72755EAB" w14:textId="77777777" w:rsidR="001F1828" w:rsidRPr="004467DF" w:rsidRDefault="001F1828" w:rsidP="001F5641">
            <w:pPr>
              <w:outlineLvl w:val="0"/>
              <w:rPr>
                <w:rFonts w:cs="Arial"/>
                <w:sz w:val="20"/>
                <w:szCs w:val="20"/>
                <w:lang w:val="nl-NL"/>
              </w:rPr>
            </w:pPr>
            <w:r w:rsidRPr="004467DF">
              <w:rPr>
                <w:rFonts w:cs="Arial"/>
                <w:sz w:val="20"/>
                <w:szCs w:val="20"/>
                <w:lang w:val="nl-NL"/>
              </w:rPr>
              <w:t>De functiebeschrijving voor de onderdelen:</w:t>
            </w:r>
          </w:p>
          <w:p w14:paraId="5595282D" w14:textId="77777777" w:rsidR="00D93787" w:rsidRPr="004467DF" w:rsidRDefault="001F1828" w:rsidP="004467DF">
            <w:pPr>
              <w:pStyle w:val="Lijstalinea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67DF">
              <w:rPr>
                <w:rFonts w:ascii="Arial" w:hAnsi="Arial" w:cs="Arial"/>
                <w:sz w:val="20"/>
                <w:szCs w:val="20"/>
              </w:rPr>
              <w:t>Plaats in de organisatie</w:t>
            </w:r>
          </w:p>
          <w:p w14:paraId="0B9E38EE" w14:textId="77777777" w:rsidR="001F1828" w:rsidRPr="004467DF" w:rsidRDefault="001F1828" w:rsidP="001F5641">
            <w:pPr>
              <w:pStyle w:val="Lijstalinea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67DF">
              <w:rPr>
                <w:rFonts w:ascii="Arial" w:hAnsi="Arial" w:cs="Arial"/>
                <w:sz w:val="20"/>
                <w:szCs w:val="20"/>
              </w:rPr>
              <w:t>Netwerkelementen</w:t>
            </w:r>
          </w:p>
          <w:p w14:paraId="4FFAAD8B" w14:textId="77777777" w:rsidR="001F1828" w:rsidRPr="004467DF" w:rsidRDefault="001F1828" w:rsidP="001F5641">
            <w:pPr>
              <w:pStyle w:val="Lijstalinea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67DF">
              <w:rPr>
                <w:rFonts w:ascii="Arial" w:hAnsi="Arial" w:cs="Arial"/>
                <w:sz w:val="20"/>
                <w:szCs w:val="20"/>
              </w:rPr>
              <w:t>Autonomie</w:t>
            </w:r>
          </w:p>
          <w:p w14:paraId="6C0806E0" w14:textId="43C38EED" w:rsidR="001F1828" w:rsidRPr="004467DF" w:rsidRDefault="001F1828" w:rsidP="001F5641">
            <w:pPr>
              <w:pStyle w:val="Lijstalinea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467DF">
              <w:rPr>
                <w:rFonts w:ascii="Arial" w:hAnsi="Arial" w:cs="Arial"/>
                <w:sz w:val="20"/>
                <w:szCs w:val="20"/>
              </w:rPr>
              <w:t>Arbeidsvoorwaarden</w:t>
            </w:r>
            <w:r w:rsidR="004467DF" w:rsidRPr="004467DF">
              <w:rPr>
                <w:rFonts w:ascii="Arial" w:hAnsi="Arial" w:cs="Arial"/>
                <w:sz w:val="20"/>
                <w:szCs w:val="20"/>
              </w:rPr>
              <w:t xml:space="preserve"> en -omstandigheden</w:t>
            </w:r>
          </w:p>
          <w:p w14:paraId="0AFC9F83" w14:textId="77777777" w:rsidR="001F1828" w:rsidRDefault="001F1828" w:rsidP="001F1828">
            <w:pPr>
              <w:jc w:val="both"/>
              <w:outlineLvl w:val="0"/>
              <w:rPr>
                <w:sz w:val="20"/>
                <w:szCs w:val="20"/>
                <w:lang w:val="nl-NL"/>
              </w:rPr>
            </w:pPr>
          </w:p>
          <w:p w14:paraId="5A7659D5" w14:textId="3E204E00" w:rsidR="007D7689" w:rsidRDefault="00E13573" w:rsidP="003D0D91">
            <w:pPr>
              <w:outlineLvl w:val="0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is</w:t>
            </w:r>
            <w:r w:rsidR="001F5641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>terug te vinden bij</w:t>
            </w:r>
            <w:r w:rsidR="007D7689">
              <w:rPr>
                <w:sz w:val="20"/>
                <w:szCs w:val="20"/>
                <w:lang w:val="nl-NL"/>
              </w:rPr>
              <w:t xml:space="preserve"> de aangekoppelde functie</w:t>
            </w:r>
            <w:r w:rsidRPr="00E13573">
              <w:rPr>
                <w:lang w:val="nl-NL"/>
              </w:rPr>
              <w:t xml:space="preserve"> </w:t>
            </w:r>
            <w:r w:rsidRPr="00E13573">
              <w:rPr>
                <w:sz w:val="20"/>
                <w:szCs w:val="20"/>
                <w:lang w:val="nl-NL"/>
              </w:rPr>
              <w:t>of volgens de bepalingen in het koninklijk besluit van 19 april 2014 tot bepaling van het statuut van het operationeel perso</w:t>
            </w:r>
            <w:r>
              <w:rPr>
                <w:sz w:val="20"/>
                <w:szCs w:val="20"/>
                <w:lang w:val="nl-NL"/>
              </w:rPr>
              <w:t>neel van de hulpverleningszones</w:t>
            </w:r>
            <w:r w:rsidR="007D7689">
              <w:rPr>
                <w:sz w:val="20"/>
                <w:szCs w:val="20"/>
                <w:lang w:val="nl-NL"/>
              </w:rPr>
              <w:t>, met uitzondering van niet</w:t>
            </w:r>
            <w:r>
              <w:rPr>
                <w:sz w:val="20"/>
                <w:szCs w:val="20"/>
                <w:lang w:val="nl-NL"/>
              </w:rPr>
              <w:t>-</w:t>
            </w:r>
            <w:r w:rsidR="007D7689">
              <w:rPr>
                <w:sz w:val="20"/>
                <w:szCs w:val="20"/>
                <w:lang w:val="nl-NL"/>
              </w:rPr>
              <w:t>brandweerman ambulanciers (KB 23</w:t>
            </w:r>
            <w:r>
              <w:rPr>
                <w:sz w:val="20"/>
                <w:szCs w:val="20"/>
                <w:lang w:val="nl-NL"/>
              </w:rPr>
              <w:t>/</w:t>
            </w:r>
            <w:r w:rsidR="007D7689">
              <w:rPr>
                <w:sz w:val="20"/>
                <w:szCs w:val="20"/>
                <w:lang w:val="nl-NL"/>
              </w:rPr>
              <w:t>08</w:t>
            </w:r>
            <w:r>
              <w:rPr>
                <w:sz w:val="20"/>
                <w:szCs w:val="20"/>
                <w:lang w:val="nl-NL"/>
              </w:rPr>
              <w:t>/</w:t>
            </w:r>
            <w:r w:rsidR="007D7689">
              <w:rPr>
                <w:sz w:val="20"/>
                <w:szCs w:val="20"/>
                <w:lang w:val="nl-NL"/>
              </w:rPr>
              <w:t>2014)</w:t>
            </w:r>
          </w:p>
          <w:p w14:paraId="096130DA" w14:textId="77777777" w:rsidR="00773E26" w:rsidRDefault="00773E26" w:rsidP="003D0D91">
            <w:pPr>
              <w:outlineLvl w:val="0"/>
              <w:rPr>
                <w:sz w:val="20"/>
                <w:szCs w:val="20"/>
                <w:lang w:val="nl-NL"/>
              </w:rPr>
            </w:pPr>
          </w:p>
          <w:p w14:paraId="1AF8579C" w14:textId="30F213CC" w:rsidR="00773E26" w:rsidRPr="009A0481" w:rsidRDefault="00773E26" w:rsidP="003D0D91">
            <w:pPr>
              <w:outlineLvl w:val="0"/>
              <w:rPr>
                <w:sz w:val="20"/>
                <w:szCs w:val="20"/>
                <w:lang w:val="nl-NL"/>
              </w:rPr>
            </w:pPr>
          </w:p>
        </w:tc>
      </w:tr>
      <w:tr w:rsidR="00C908F9" w:rsidRPr="00CC5128" w14:paraId="4D4E1ECD" w14:textId="77777777" w:rsidTr="00D901A5">
        <w:tc>
          <w:tcPr>
            <w:tcW w:w="2777" w:type="dxa"/>
            <w:vMerge w:val="restart"/>
            <w:shd w:val="clear" w:color="auto" w:fill="auto"/>
          </w:tcPr>
          <w:p w14:paraId="00EDD4DE" w14:textId="77777777" w:rsidR="00C908F9" w:rsidRDefault="00C908F9" w:rsidP="005665D9">
            <w:pPr>
              <w:rPr>
                <w:b/>
                <w:color w:val="0000FF"/>
                <w:sz w:val="20"/>
                <w:szCs w:val="20"/>
                <w:lang w:val="nl-NL"/>
              </w:rPr>
            </w:pPr>
            <w:r>
              <w:rPr>
                <w:b/>
                <w:color w:val="0000FF"/>
                <w:sz w:val="20"/>
                <w:szCs w:val="20"/>
                <w:lang w:val="nl-NL"/>
              </w:rPr>
              <w:t>Arbeidsomstandigheden</w:t>
            </w:r>
          </w:p>
          <w:p w14:paraId="3F0C04D1" w14:textId="77777777" w:rsidR="00C908F9" w:rsidRDefault="00C908F9" w:rsidP="005665D9">
            <w:pPr>
              <w:rPr>
                <w:b/>
                <w:color w:val="0000FF"/>
                <w:sz w:val="20"/>
                <w:szCs w:val="20"/>
                <w:lang w:val="nl-NL"/>
              </w:rPr>
            </w:pPr>
            <w:r>
              <w:rPr>
                <w:b/>
                <w:color w:val="0000FF"/>
                <w:sz w:val="20"/>
                <w:szCs w:val="20"/>
                <w:lang w:val="nl-NL"/>
              </w:rPr>
              <w:t>Arbeidsvoorwaarden</w:t>
            </w:r>
          </w:p>
          <w:p w14:paraId="4B219A4C" w14:textId="77777777" w:rsidR="00C908F9" w:rsidRDefault="00C908F9" w:rsidP="005665D9">
            <w:pPr>
              <w:rPr>
                <w:b/>
                <w:color w:val="0000FF"/>
                <w:sz w:val="20"/>
                <w:szCs w:val="20"/>
                <w:lang w:val="nl-NL"/>
              </w:rPr>
            </w:pPr>
          </w:p>
        </w:tc>
        <w:tc>
          <w:tcPr>
            <w:tcW w:w="2009" w:type="dxa"/>
            <w:shd w:val="clear" w:color="auto" w:fill="auto"/>
          </w:tcPr>
          <w:p w14:paraId="26B633EA" w14:textId="77777777" w:rsidR="00C908F9" w:rsidRPr="00C05041" w:rsidRDefault="00C908F9" w:rsidP="005665D9">
            <w:pPr>
              <w:rPr>
                <w:sz w:val="20"/>
                <w:szCs w:val="20"/>
                <w:lang w:val="nl-NL"/>
              </w:rPr>
            </w:pPr>
          </w:p>
          <w:p w14:paraId="632928C7" w14:textId="38287E8E" w:rsidR="00C908F9" w:rsidRPr="00C05041" w:rsidRDefault="00C908F9" w:rsidP="005665D9">
            <w:pPr>
              <w:rPr>
                <w:sz w:val="20"/>
                <w:szCs w:val="20"/>
                <w:lang w:val="nl-NL"/>
              </w:rPr>
            </w:pPr>
            <w:r w:rsidRPr="00C05041">
              <w:rPr>
                <w:sz w:val="20"/>
                <w:szCs w:val="20"/>
                <w:lang w:val="nl-NL"/>
              </w:rPr>
              <w:t>Diploma, brevet, getuigschrift, …</w:t>
            </w:r>
          </w:p>
          <w:p w14:paraId="3D0E4BF6" w14:textId="77777777" w:rsidR="00C908F9" w:rsidRPr="00C05041" w:rsidRDefault="00C908F9" w:rsidP="005665D9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4496" w:type="dxa"/>
            <w:shd w:val="clear" w:color="auto" w:fill="auto"/>
          </w:tcPr>
          <w:p w14:paraId="36F26C14" w14:textId="77777777" w:rsidR="00C908F9" w:rsidRPr="00C05041" w:rsidRDefault="00C908F9" w:rsidP="005665D9">
            <w:pPr>
              <w:rPr>
                <w:sz w:val="20"/>
                <w:szCs w:val="20"/>
                <w:lang w:val="nl-NL"/>
              </w:rPr>
            </w:pPr>
          </w:p>
          <w:p w14:paraId="50153910" w14:textId="1EE47C8D" w:rsidR="00C908F9" w:rsidRPr="00C05041" w:rsidRDefault="00C908F9" w:rsidP="005665D9">
            <w:pPr>
              <w:rPr>
                <w:sz w:val="20"/>
                <w:szCs w:val="20"/>
                <w:lang w:val="nl-NL"/>
              </w:rPr>
            </w:pPr>
            <w:r w:rsidRPr="00C05041">
              <w:rPr>
                <w:sz w:val="20"/>
                <w:szCs w:val="20"/>
                <w:lang w:val="nl-NL"/>
              </w:rPr>
              <w:t>Behalen en behouden van brevet ambulancier (KB 13/02/1998)</w:t>
            </w:r>
          </w:p>
          <w:p w14:paraId="0D290D77" w14:textId="77777777" w:rsidR="00C908F9" w:rsidRPr="00C05041" w:rsidRDefault="00C908F9" w:rsidP="005665D9">
            <w:pPr>
              <w:rPr>
                <w:sz w:val="20"/>
                <w:szCs w:val="20"/>
                <w:lang w:val="nl-NL"/>
              </w:rPr>
            </w:pPr>
            <w:r w:rsidRPr="00C05041">
              <w:rPr>
                <w:sz w:val="20"/>
                <w:szCs w:val="20"/>
                <w:lang w:val="nl-NL"/>
              </w:rPr>
              <w:t>Voorwaarden KB 23/08/2014</w:t>
            </w:r>
          </w:p>
          <w:p w14:paraId="6884E4E5" w14:textId="1E872358" w:rsidR="00C908F9" w:rsidRPr="00C05041" w:rsidRDefault="00C908F9" w:rsidP="005665D9">
            <w:pPr>
              <w:rPr>
                <w:sz w:val="20"/>
                <w:szCs w:val="20"/>
                <w:lang w:val="nl-NL"/>
              </w:rPr>
            </w:pPr>
          </w:p>
        </w:tc>
      </w:tr>
      <w:tr w:rsidR="00C908F9" w:rsidRPr="00CC5128" w14:paraId="15EB93BC" w14:textId="77777777" w:rsidTr="00D901A5">
        <w:tc>
          <w:tcPr>
            <w:tcW w:w="2777" w:type="dxa"/>
            <w:vMerge/>
            <w:shd w:val="clear" w:color="auto" w:fill="auto"/>
          </w:tcPr>
          <w:p w14:paraId="510B816A" w14:textId="77777777" w:rsidR="00C908F9" w:rsidRDefault="00C908F9" w:rsidP="005665D9">
            <w:pPr>
              <w:rPr>
                <w:b/>
                <w:color w:val="0000FF"/>
                <w:sz w:val="20"/>
                <w:szCs w:val="20"/>
                <w:lang w:val="nl-NL"/>
              </w:rPr>
            </w:pPr>
          </w:p>
        </w:tc>
        <w:tc>
          <w:tcPr>
            <w:tcW w:w="2009" w:type="dxa"/>
            <w:shd w:val="clear" w:color="auto" w:fill="auto"/>
          </w:tcPr>
          <w:p w14:paraId="4170AFFA" w14:textId="62E688A2" w:rsidR="00C908F9" w:rsidRPr="00C05041" w:rsidRDefault="00C908F9" w:rsidP="005665D9">
            <w:pPr>
              <w:rPr>
                <w:sz w:val="20"/>
                <w:szCs w:val="20"/>
                <w:lang w:val="nl-NL"/>
              </w:rPr>
            </w:pPr>
            <w:r w:rsidRPr="00C05041">
              <w:rPr>
                <w:sz w:val="20"/>
                <w:szCs w:val="20"/>
                <w:lang w:val="nl-NL"/>
              </w:rPr>
              <w:t>Specifieke kenmerken</w:t>
            </w:r>
          </w:p>
        </w:tc>
        <w:tc>
          <w:tcPr>
            <w:tcW w:w="4496" w:type="dxa"/>
            <w:shd w:val="clear" w:color="auto" w:fill="auto"/>
          </w:tcPr>
          <w:p w14:paraId="41148ED6" w14:textId="77777777" w:rsidR="00C908F9" w:rsidRPr="00C05041" w:rsidRDefault="00C908F9" w:rsidP="00C908F9">
            <w:pPr>
              <w:pStyle w:val="Lijstalinea"/>
              <w:numPr>
                <w:ilvl w:val="0"/>
                <w:numId w:val="1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5041">
              <w:rPr>
                <w:rFonts w:ascii="Arial" w:hAnsi="Arial" w:cs="Arial"/>
                <w:sz w:val="20"/>
                <w:szCs w:val="20"/>
              </w:rPr>
              <w:t>Presteren van onregelmatige werktijden</w:t>
            </w:r>
          </w:p>
          <w:p w14:paraId="4CB8755E" w14:textId="77777777" w:rsidR="00C908F9" w:rsidRPr="00C05041" w:rsidRDefault="00C908F9" w:rsidP="00C908F9">
            <w:pPr>
              <w:pStyle w:val="Lijstalinea"/>
              <w:numPr>
                <w:ilvl w:val="0"/>
                <w:numId w:val="1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5041">
              <w:rPr>
                <w:rFonts w:ascii="Arial" w:hAnsi="Arial" w:cs="Arial"/>
                <w:sz w:val="20"/>
                <w:szCs w:val="20"/>
              </w:rPr>
              <w:t xml:space="preserve">Werk op </w:t>
            </w:r>
            <w:proofErr w:type="spellStart"/>
            <w:r w:rsidRPr="00C05041">
              <w:rPr>
                <w:rFonts w:ascii="Arial" w:hAnsi="Arial" w:cs="Arial"/>
                <w:sz w:val="20"/>
                <w:szCs w:val="20"/>
              </w:rPr>
              <w:t>zater</w:t>
            </w:r>
            <w:proofErr w:type="spellEnd"/>
            <w:r w:rsidRPr="00C05041">
              <w:rPr>
                <w:rFonts w:ascii="Arial" w:hAnsi="Arial" w:cs="Arial"/>
                <w:sz w:val="20"/>
                <w:szCs w:val="20"/>
              </w:rPr>
              <w:t xml:space="preserve">-, zon- en feestdagen en ’s nachts. </w:t>
            </w:r>
          </w:p>
          <w:p w14:paraId="5B7B77E1" w14:textId="77777777" w:rsidR="00C908F9" w:rsidRPr="00C05041" w:rsidRDefault="00C908F9" w:rsidP="00C908F9">
            <w:pPr>
              <w:pStyle w:val="Lijstalinea"/>
              <w:numPr>
                <w:ilvl w:val="0"/>
                <w:numId w:val="1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5041">
              <w:rPr>
                <w:rFonts w:ascii="Arial" w:hAnsi="Arial" w:cs="Arial"/>
                <w:sz w:val="20"/>
                <w:szCs w:val="20"/>
              </w:rPr>
              <w:t>Oproepingen zijn mogelijk.</w:t>
            </w:r>
          </w:p>
          <w:p w14:paraId="2AB2DFB0" w14:textId="77777777" w:rsidR="00C908F9" w:rsidRPr="00C05041" w:rsidRDefault="00C908F9" w:rsidP="00C908F9">
            <w:pPr>
              <w:pStyle w:val="Lijstalinea"/>
              <w:numPr>
                <w:ilvl w:val="0"/>
                <w:numId w:val="1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5041">
              <w:rPr>
                <w:rFonts w:ascii="Arial" w:hAnsi="Arial" w:cs="Arial"/>
                <w:sz w:val="20"/>
                <w:szCs w:val="20"/>
              </w:rPr>
              <w:t>Zware en fysieke belasting is mogelijk</w:t>
            </w:r>
          </w:p>
          <w:p w14:paraId="2B3C1A76" w14:textId="77777777" w:rsidR="00C908F9" w:rsidRPr="00C05041" w:rsidRDefault="00C908F9" w:rsidP="00C908F9">
            <w:pPr>
              <w:pStyle w:val="Lijstalinea"/>
              <w:numPr>
                <w:ilvl w:val="0"/>
                <w:numId w:val="14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5041">
              <w:rPr>
                <w:rFonts w:ascii="Arial" w:hAnsi="Arial" w:cs="Arial"/>
                <w:sz w:val="20"/>
                <w:szCs w:val="20"/>
              </w:rPr>
              <w:t>Psychische belasting is mogelijk</w:t>
            </w:r>
          </w:p>
          <w:p w14:paraId="1B1BD5F3" w14:textId="77777777" w:rsidR="00C908F9" w:rsidRPr="00C05041" w:rsidRDefault="00C908F9" w:rsidP="005665D9">
            <w:pPr>
              <w:rPr>
                <w:sz w:val="20"/>
                <w:szCs w:val="20"/>
                <w:lang w:val="nl-NL"/>
              </w:rPr>
            </w:pPr>
            <w:bookmarkStart w:id="0" w:name="_GoBack"/>
            <w:bookmarkEnd w:id="0"/>
          </w:p>
        </w:tc>
      </w:tr>
    </w:tbl>
    <w:p w14:paraId="5FAF8044" w14:textId="1BBDBB63" w:rsidR="00C1200D" w:rsidRPr="00773E26" w:rsidRDefault="00C1200D">
      <w:pPr>
        <w:rPr>
          <w:lang w:val="nl-NL"/>
        </w:rPr>
      </w:pPr>
    </w:p>
    <w:p w14:paraId="6AD8A2D1" w14:textId="77777777" w:rsidR="00CC5128" w:rsidRPr="00773E26" w:rsidRDefault="00CC5128">
      <w:pPr>
        <w:rPr>
          <w:lang w:val="nl-NL"/>
        </w:rPr>
      </w:pPr>
    </w:p>
    <w:p w14:paraId="4ED5162A" w14:textId="77777777" w:rsidR="00E13573" w:rsidRPr="00707BFF" w:rsidRDefault="00E13573" w:rsidP="00E13573">
      <w:pPr>
        <w:jc w:val="center"/>
        <w:rPr>
          <w:rFonts w:ascii="Univers" w:eastAsia="Times New Roman" w:hAnsi="Univers"/>
          <w:color w:val="000000"/>
          <w:lang w:val="nl-BE" w:eastAsia="fr-BE"/>
        </w:rPr>
      </w:pPr>
      <w:r>
        <w:rPr>
          <w:rFonts w:ascii="Univers" w:eastAsia="Times New Roman" w:hAnsi="Univers"/>
          <w:color w:val="000000"/>
          <w:lang w:val="nl-BE" w:eastAsia="fr-BE"/>
        </w:rPr>
        <w:t xml:space="preserve">Gezien </w:t>
      </w:r>
      <w:r w:rsidRPr="008126C5">
        <w:rPr>
          <w:rFonts w:ascii="Univers" w:eastAsia="Times New Roman" w:hAnsi="Univers"/>
          <w:color w:val="000000"/>
          <w:lang w:val="nl-BE" w:eastAsia="fr-BE"/>
        </w:rPr>
        <w:t xml:space="preserve">om gevoegd te worden bij </w:t>
      </w:r>
      <w:r>
        <w:rPr>
          <w:rFonts w:ascii="Univers" w:eastAsia="Times New Roman" w:hAnsi="Univers"/>
          <w:color w:val="000000"/>
          <w:lang w:val="nl-BE" w:eastAsia="fr-BE"/>
        </w:rPr>
        <w:t>het</w:t>
      </w:r>
      <w:r w:rsidRPr="008126C5">
        <w:rPr>
          <w:rFonts w:ascii="Univers" w:eastAsia="Times New Roman" w:hAnsi="Univers"/>
          <w:color w:val="000000"/>
          <w:lang w:val="nl-BE" w:eastAsia="fr-BE"/>
        </w:rPr>
        <w:t xml:space="preserve"> besluit van … </w:t>
      </w:r>
      <w:r w:rsidRPr="00AB24E4">
        <w:rPr>
          <w:rFonts w:ascii="Univers" w:eastAsia="Times New Roman" w:hAnsi="Univers"/>
          <w:color w:val="000000"/>
          <w:lang w:val="nl-BE" w:eastAsia="fr-BE"/>
        </w:rPr>
        <w:t>tot vaststelling van de functiebeschrijvingen van het operationeel personeel van de hulpverleningszones</w:t>
      </w:r>
    </w:p>
    <w:p w14:paraId="5FC032FB" w14:textId="77777777" w:rsidR="00E13573" w:rsidRPr="00707BFF" w:rsidRDefault="00E13573" w:rsidP="00E13573">
      <w:pPr>
        <w:jc w:val="center"/>
        <w:rPr>
          <w:rFonts w:ascii="Univers" w:eastAsia="Times New Roman" w:hAnsi="Univers"/>
          <w:color w:val="000000"/>
          <w:lang w:val="nl-BE" w:eastAsia="fr-BE"/>
        </w:rPr>
      </w:pPr>
    </w:p>
    <w:p w14:paraId="6B70AC56" w14:textId="77777777" w:rsidR="00E13573" w:rsidRPr="00707BFF" w:rsidRDefault="00E13573" w:rsidP="00E13573">
      <w:pPr>
        <w:jc w:val="center"/>
        <w:rPr>
          <w:rFonts w:ascii="Univers" w:eastAsia="Times New Roman" w:hAnsi="Univers"/>
          <w:color w:val="000000"/>
          <w:lang w:val="nl-BE" w:eastAsia="fr-BE"/>
        </w:rPr>
      </w:pPr>
    </w:p>
    <w:p w14:paraId="5C904152" w14:textId="77777777" w:rsidR="00E13573" w:rsidRPr="00707BFF" w:rsidRDefault="00E13573" w:rsidP="00E13573">
      <w:pPr>
        <w:rPr>
          <w:rFonts w:ascii="Univers" w:eastAsia="Times New Roman" w:hAnsi="Univers"/>
          <w:color w:val="000000"/>
          <w:lang w:val="nl-BE" w:eastAsia="fr-BE"/>
        </w:rPr>
      </w:pPr>
    </w:p>
    <w:p w14:paraId="2526DE27" w14:textId="77777777" w:rsidR="00E13573" w:rsidRPr="00707BFF" w:rsidRDefault="00E13573" w:rsidP="00E13573">
      <w:pPr>
        <w:jc w:val="center"/>
        <w:rPr>
          <w:rFonts w:ascii="Univers" w:eastAsia="Times New Roman" w:hAnsi="Univers"/>
          <w:color w:val="000000"/>
          <w:lang w:val="nl-BE" w:eastAsia="fr-BE"/>
        </w:rPr>
      </w:pPr>
    </w:p>
    <w:p w14:paraId="5F253F34" w14:textId="77777777" w:rsidR="00E13573" w:rsidRPr="00707BFF" w:rsidRDefault="00E13573" w:rsidP="00E13573">
      <w:pPr>
        <w:jc w:val="center"/>
        <w:rPr>
          <w:rFonts w:ascii="Univers" w:eastAsia="Times New Roman" w:hAnsi="Univers"/>
          <w:color w:val="000000"/>
          <w:lang w:val="nl-BE" w:eastAsia="fr-BE"/>
        </w:rPr>
      </w:pPr>
    </w:p>
    <w:p w14:paraId="32F6A135" w14:textId="77777777" w:rsidR="00E13573" w:rsidRDefault="00E13573" w:rsidP="00E13573">
      <w:pPr>
        <w:jc w:val="center"/>
        <w:rPr>
          <w:rFonts w:ascii="Univers" w:eastAsia="Times New Roman" w:hAnsi="Univers"/>
          <w:color w:val="000000"/>
          <w:lang w:val="nl-BE" w:eastAsia="fr-BE"/>
        </w:rPr>
      </w:pPr>
    </w:p>
    <w:p w14:paraId="3A9336A3" w14:textId="77777777" w:rsidR="00E13573" w:rsidRDefault="00E13573" w:rsidP="00E13573">
      <w:pPr>
        <w:jc w:val="center"/>
        <w:rPr>
          <w:rFonts w:ascii="Univers" w:eastAsia="Times New Roman" w:hAnsi="Univers"/>
          <w:color w:val="000000"/>
          <w:lang w:val="nl-BE" w:eastAsia="fr-BE"/>
        </w:rPr>
      </w:pPr>
    </w:p>
    <w:p w14:paraId="3CA3D086" w14:textId="77777777" w:rsidR="00E13573" w:rsidRPr="00707BFF" w:rsidRDefault="00E13573" w:rsidP="00E13573">
      <w:pPr>
        <w:jc w:val="center"/>
        <w:rPr>
          <w:rFonts w:ascii="Univers" w:eastAsia="Times New Roman" w:hAnsi="Univers"/>
          <w:color w:val="000000"/>
          <w:lang w:val="nl-BE" w:eastAsia="fr-BE"/>
        </w:rPr>
      </w:pPr>
    </w:p>
    <w:p w14:paraId="73837F31" w14:textId="77777777" w:rsidR="00E13573" w:rsidRPr="008126C5" w:rsidRDefault="00E13573" w:rsidP="00E13573">
      <w:pPr>
        <w:jc w:val="center"/>
        <w:rPr>
          <w:rFonts w:ascii="Univers" w:eastAsia="Times New Roman" w:hAnsi="Univers"/>
          <w:color w:val="000000"/>
          <w:lang w:val="nl-BE" w:eastAsia="fr-BE"/>
        </w:rPr>
      </w:pPr>
      <w:r w:rsidRPr="00707BFF">
        <w:rPr>
          <w:rFonts w:ascii="Univers" w:eastAsia="Times New Roman" w:hAnsi="Univers"/>
          <w:color w:val="000000"/>
          <w:lang w:val="nl-BE" w:eastAsia="fr-BE"/>
        </w:rPr>
        <w:t xml:space="preserve">Jan </w:t>
      </w:r>
      <w:r>
        <w:rPr>
          <w:rFonts w:ascii="Univers" w:eastAsia="Times New Roman" w:hAnsi="Univers"/>
          <w:color w:val="000000"/>
          <w:lang w:val="nl-BE" w:eastAsia="fr-BE"/>
        </w:rPr>
        <w:t>JAMBON</w:t>
      </w:r>
    </w:p>
    <w:p w14:paraId="451A2ABE" w14:textId="77777777" w:rsidR="00EC4FE1" w:rsidRPr="00773E26" w:rsidRDefault="00EC4FE1">
      <w:pPr>
        <w:rPr>
          <w:lang w:val="nl-NL"/>
        </w:rPr>
      </w:pPr>
    </w:p>
    <w:sectPr w:rsidR="00EC4FE1" w:rsidRPr="00773E26" w:rsidSect="001F40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07A3D" w14:textId="77777777" w:rsidR="002420AF" w:rsidRDefault="002420AF" w:rsidP="008F4853">
      <w:r>
        <w:separator/>
      </w:r>
    </w:p>
  </w:endnote>
  <w:endnote w:type="continuationSeparator" w:id="0">
    <w:p w14:paraId="3F65D313" w14:textId="77777777" w:rsidR="002420AF" w:rsidRDefault="002420AF" w:rsidP="008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538AD" w14:textId="77777777" w:rsidR="002420AF" w:rsidRDefault="002420AF" w:rsidP="008F4853">
      <w:r>
        <w:separator/>
      </w:r>
    </w:p>
  </w:footnote>
  <w:footnote w:type="continuationSeparator" w:id="0">
    <w:p w14:paraId="69407D1D" w14:textId="77777777" w:rsidR="002420AF" w:rsidRDefault="002420AF" w:rsidP="008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5C5D"/>
    <w:multiLevelType w:val="hybridMultilevel"/>
    <w:tmpl w:val="DC46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5C85"/>
    <w:multiLevelType w:val="hybridMultilevel"/>
    <w:tmpl w:val="6760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77E9"/>
    <w:multiLevelType w:val="hybridMultilevel"/>
    <w:tmpl w:val="DB12D43A"/>
    <w:lvl w:ilvl="0" w:tplc="36166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75DA2"/>
    <w:multiLevelType w:val="hybridMultilevel"/>
    <w:tmpl w:val="ACAA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D5D8B"/>
    <w:multiLevelType w:val="hybridMultilevel"/>
    <w:tmpl w:val="E176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63C5A"/>
    <w:multiLevelType w:val="hybridMultilevel"/>
    <w:tmpl w:val="F8B280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A007C"/>
    <w:multiLevelType w:val="hybridMultilevel"/>
    <w:tmpl w:val="9D9CFDBA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201E5"/>
    <w:multiLevelType w:val="hybridMultilevel"/>
    <w:tmpl w:val="D8EA291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8517E"/>
    <w:multiLevelType w:val="hybridMultilevel"/>
    <w:tmpl w:val="1546A5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66D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1F2DB5"/>
    <w:multiLevelType w:val="hybridMultilevel"/>
    <w:tmpl w:val="8BEEBDE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DC6DBE"/>
    <w:multiLevelType w:val="hybridMultilevel"/>
    <w:tmpl w:val="C658C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7244B"/>
    <w:multiLevelType w:val="hybridMultilevel"/>
    <w:tmpl w:val="0050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01A95"/>
    <w:multiLevelType w:val="hybridMultilevel"/>
    <w:tmpl w:val="6DB8B5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D50A63"/>
    <w:multiLevelType w:val="hybridMultilevel"/>
    <w:tmpl w:val="7122A16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81"/>
    <w:rsid w:val="000A0EBD"/>
    <w:rsid w:val="001F1828"/>
    <w:rsid w:val="001F4078"/>
    <w:rsid w:val="001F5641"/>
    <w:rsid w:val="00216C9C"/>
    <w:rsid w:val="00225EAD"/>
    <w:rsid w:val="0023256F"/>
    <w:rsid w:val="002420AF"/>
    <w:rsid w:val="002653C7"/>
    <w:rsid w:val="002677FF"/>
    <w:rsid w:val="00377A38"/>
    <w:rsid w:val="003D0D91"/>
    <w:rsid w:val="003D785C"/>
    <w:rsid w:val="00407118"/>
    <w:rsid w:val="00411951"/>
    <w:rsid w:val="004361AC"/>
    <w:rsid w:val="004467DF"/>
    <w:rsid w:val="005672C9"/>
    <w:rsid w:val="006A163E"/>
    <w:rsid w:val="006C3B5D"/>
    <w:rsid w:val="00731AFB"/>
    <w:rsid w:val="00773E26"/>
    <w:rsid w:val="007D7689"/>
    <w:rsid w:val="007E416B"/>
    <w:rsid w:val="00802652"/>
    <w:rsid w:val="008655BE"/>
    <w:rsid w:val="008B5CDC"/>
    <w:rsid w:val="008E37C4"/>
    <w:rsid w:val="008F4853"/>
    <w:rsid w:val="008F6C20"/>
    <w:rsid w:val="00904DB5"/>
    <w:rsid w:val="00923C57"/>
    <w:rsid w:val="00940502"/>
    <w:rsid w:val="00975114"/>
    <w:rsid w:val="009A0481"/>
    <w:rsid w:val="00A3752C"/>
    <w:rsid w:val="00A66F68"/>
    <w:rsid w:val="00B74846"/>
    <w:rsid w:val="00BE0919"/>
    <w:rsid w:val="00C05041"/>
    <w:rsid w:val="00C1200D"/>
    <w:rsid w:val="00C908F9"/>
    <w:rsid w:val="00CC5128"/>
    <w:rsid w:val="00CD2241"/>
    <w:rsid w:val="00D0636A"/>
    <w:rsid w:val="00D27580"/>
    <w:rsid w:val="00D76CC5"/>
    <w:rsid w:val="00D901A5"/>
    <w:rsid w:val="00D93787"/>
    <w:rsid w:val="00E13573"/>
    <w:rsid w:val="00E749F5"/>
    <w:rsid w:val="00EC4FE1"/>
    <w:rsid w:val="00FC2692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79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61A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61AC"/>
    <w:rPr>
      <w:rFonts w:ascii="Lucida Grande" w:hAnsi="Lucida Grande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61A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61AC"/>
    <w:rPr>
      <w:rFonts w:ascii="Lucida Grande" w:hAnsi="Lucida Grande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2093-6143-468A-8634-54EDAB93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Brandweer Roeselare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Vangierdegom</dc:creator>
  <cp:lastModifiedBy>IBZ</cp:lastModifiedBy>
  <cp:revision>2</cp:revision>
  <cp:lastPrinted>2015-06-18T16:55:00Z</cp:lastPrinted>
  <dcterms:created xsi:type="dcterms:W3CDTF">2016-04-19T09:55:00Z</dcterms:created>
  <dcterms:modified xsi:type="dcterms:W3CDTF">2016-04-19T09:55:00Z</dcterms:modified>
</cp:coreProperties>
</file>